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cf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</w:rPr>
        <w:drawing>
          <wp:inline distB="0" distT="0" distL="114300" distR="114300">
            <wp:extent cx="5543550" cy="1971040"/>
            <wp:effectExtent b="0" l="0" r="0" t="0"/>
            <wp:docPr descr="A picture containing graphical user interface&#10;&#10;Description automatically generated" id="1028" name="image3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710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-709" w:right="-766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jc w:val="center"/>
        <w:rPr>
          <w:sz w:val="46"/>
          <w:szCs w:val="46"/>
          <w:vertAlign w:val="baseline"/>
        </w:rPr>
      </w:pPr>
      <w:r w:rsidDel="00000000" w:rsidR="00000000" w:rsidRPr="00000000">
        <w:rPr>
          <w:b w:val="1"/>
          <w:sz w:val="46"/>
          <w:szCs w:val="46"/>
          <w:vertAlign w:val="baseline"/>
          <w:rtl w:val="0"/>
        </w:rPr>
        <w:t xml:space="preserve"> Exam Contingency Policy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jc w:val="center"/>
        <w:rPr>
          <w:sz w:val="46"/>
          <w:szCs w:val="4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jc w:val="center"/>
        <w:rPr>
          <w:sz w:val="46"/>
          <w:szCs w:val="4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jc w:val="center"/>
        <w:rPr>
          <w:sz w:val="46"/>
          <w:szCs w:val="46"/>
          <w:vertAlign w:val="baseline"/>
        </w:rPr>
      </w:pPr>
      <w:r w:rsidDel="00000000" w:rsidR="00000000" w:rsidRPr="00000000">
        <w:rPr>
          <w:b w:val="1"/>
          <w:sz w:val="46"/>
          <w:szCs w:val="46"/>
          <w:vertAlign w:val="baseline"/>
          <w:rtl w:val="0"/>
        </w:rPr>
        <w:t xml:space="preserve">Date Created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jc w:val="center"/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29/03/23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Contents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3,2,"</w:instrText>
            <w:fldChar w:fldCharType="separate"/>
          </w: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Aims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Legislation and guidance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Responsibilities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Monitoring arrangements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Links with other policies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dot" w:pos="9736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Contingency plan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474" y="3780000"/>
                          <a:ext cx="6159052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12263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Aims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plan aims to: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Examine potential risks and issues that could cause disruption to the management and administration of exams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Mitigate the impact of disruptions by providing actions or procedures to follow</w:t>
      </w:r>
    </w:p>
    <w:p w:rsidR="00000000" w:rsidDel="00000000" w:rsidP="00000000" w:rsidRDefault="00000000" w:rsidRPr="00000000" w14:paraId="00000025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Legislation and guidance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vertAlign w:val="baseline"/>
          <w:rtl w:val="0"/>
        </w:rPr>
        <w:t xml:space="preserve">This plan complies with the </w:t>
      </w:r>
      <w:hyperlink r:id="rId9">
        <w:r w:rsidDel="00000000" w:rsidR="00000000" w:rsidRPr="00000000">
          <w:rPr>
            <w:color w:val="0072cc"/>
            <w:u w:val="single"/>
            <w:vertAlign w:val="baseline"/>
            <w:rtl w:val="0"/>
          </w:rPr>
          <w:t xml:space="preserve">Joint Council for Qualifications (JCQ) General Regulations for Approved Centres</w:t>
        </w:r>
      </w:hyperlink>
      <w:r w:rsidDel="00000000" w:rsidR="00000000" w:rsidRPr="00000000">
        <w:rPr>
          <w:vertAlign w:val="baseline"/>
          <w:rtl w:val="0"/>
        </w:rPr>
        <w:t xml:space="preserve">, which requires all exam centres to have a written examination contingency plan/examinations policy.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This </w:t>
      </w:r>
      <w:r w:rsidDel="00000000" w:rsidR="00000000" w:rsidRPr="00000000">
        <w:rPr>
          <w:vertAlign w:val="baseline"/>
          <w:rtl w:val="0"/>
        </w:rPr>
        <w:t xml:space="preserve">plan also complies with our funding agreement and articles of association.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It’s also based on: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Ofqual’s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guidance on contingency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0" w:hanging="1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JCQ’s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2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joint contingency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3.1 Head of centre 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head of centre is Paul Barrett. They will ensure that a written examination contingency plan/examinations policy is in place and covers all aspects of examination administration.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263f"/>
          <w:sz w:val="24"/>
          <w:szCs w:val="24"/>
          <w:u w:val="none"/>
          <w:shd w:fill="auto" w:val="clear"/>
          <w:vertAlign w:val="baseline"/>
          <w:rtl w:val="0"/>
        </w:rPr>
        <w:t xml:space="preserve">3.2 Staff and invigilators 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vertAlign w:val="baseline"/>
          <w:rtl w:val="0"/>
        </w:rPr>
        <w:t xml:space="preserve">Staff and invigilators involved in the centre’s exam process are responsible for reading, understanding and implementing the contingency plan.</w:t>
      </w:r>
    </w:p>
    <w:p w:rsidR="00000000" w:rsidDel="00000000" w:rsidP="00000000" w:rsidRDefault="00000000" w:rsidRPr="00000000" w14:paraId="00000030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Monitoring arrangements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will be reviewed by Craig Kelly every year, the policy will be shared with the governing board and ratified.</w:t>
      </w:r>
    </w:p>
    <w:p w:rsidR="00000000" w:rsidDel="00000000" w:rsidP="00000000" w:rsidRDefault="00000000" w:rsidRPr="00000000" w14:paraId="00000032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Links with other policies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policy is linked to our: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Assessment policy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Btec/GCSE policy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89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12" w:type="default"/>
          <w:headerReference r:id="rId13" w:type="first"/>
          <w:headerReference r:id="rId14" w:type="even"/>
          <w:footerReference r:id="rId15" w:type="default"/>
          <w:footerReference r:id="rId16" w:type="first"/>
          <w:pgSz w:h="16840" w:w="11900" w:orient="portrait"/>
          <w:pgMar w:bottom="1701" w:top="851" w:left="1077" w:right="1077" w:header="227" w:footer="227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 and learning policy</w:t>
      </w:r>
    </w:p>
    <w:p w:rsidR="00000000" w:rsidDel="00000000" w:rsidP="00000000" w:rsidRDefault="00000000" w:rsidRPr="00000000" w14:paraId="00000037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Contingency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Possible causes of disruption to the exam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Exam officer extended absence at key points in the exam process (cycle)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tasks required in the management and administration of the exam cycle not undertaken including: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Planning: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annual data collection exercise not undertaken to collate information on qualifications and awarding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body specifications being delivered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annual exams plan not produced identifying essential key tasks, key dates and deadlines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sufficient invigilators not recruited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Entries: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awarding bodies not being informed of early/estimated entries which prompts release of early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 required by teaching staff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candidates not being entered with awarding bodies for external exams/assessment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awarding body entry deadlines missed or late or other penalty fees being incurred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Pre-exams: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invigilators not trained or updated on changes to instructions for conducting exams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 timetabling, rooming allocation; and invigilation schedules not prepared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candidates not briefed on exam timetables and awarding body information for candidates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confidential exam/assessment materials and candidates’ work not stored under required secure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conditions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internal assessment marks and samples of candidates’ work not submitted to awarding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bodies/external moderators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 time: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exams/assessments not taken under the conditions prescribed by awarding bodies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required reports/requests not submitted to awarding bodies during exam/assessment periods, for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example very late arrival, suspected malpractice, special consideration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candidates’ scripts not dispatched as required for marking to awarding bodies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Results and post-results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access to examination results affecting the distribution of results to candidates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the facilitation of the post-results services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Key dates shared with SLT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 calendar shared with students and staff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Assistance to be requested from awarding bodies and Exams Office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Exams officer aware of producing seating plans, rooming, making sure exam papers are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dispatched properly.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SENCo extended absence at key points in the exam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tasks required in the management and administration of the access arrangements process within the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 cycle not undertaken including: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Planning: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candidates not tested/assessed to identify potential access arrangement requirements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centre fails to recognise its duties towards disabled candidates as defined under the terms of the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Equality Act 2010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evidence of need and evidence to support normal way of working not collated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Pre-exams: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approval for access arrangements not applied for to the awarding body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centre-delegated arrangements not put in place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modified paper requirements not identified in a timely manner to enable ordering to meet external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deadline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staff (facilitators) providing support to access arrangement candidates not allocated and trained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 time: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access arrangement candidate support not arranged for exam rooms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disruption: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SLT, Exams Officer to support in ensuring AA deadlines are met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TA’s to be used according to the exam timetable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Support requested from awarding bodies and SENCo network group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Teaching staff extended absence at key points in the exam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 tasks not undertaken including: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Early/estimated entry information not provided to the exams officer on time; resulting in pre-release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information not being received.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Final entry information not provided to the exams officer on time; resulting in candidates not being entered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exams/assessments or being entered late/late or other penalty fees being charged by awarding bodies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Non-examination assessment tasks not set/issued/taken by candidates as scheduled.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not being informed of centre assessed marks before marks are submitted to the awarding body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therefore not being able to consider appealing internal assessment decisions and requesting a review of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centre’s marking.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Internal assessment marks and candidates’ work not provided to meet awarding body submission deadlines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disruption: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Exams officer to liaise with Line Manager and teaching staff to ensure all deadlines are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Class lists to be used for entries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Contact awarding bodies for advice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Invigilators - lack of appropriately trained invigilators or invigilator absence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recruit and train sufficient invigilators to conduct exams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Invigilator shortage on peak exam days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Invigilator absence on the day of an exam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Exams officer to review numbers of invigilators each term and ensure sufficient invigilators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Check student numbers in each year group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 September make a record of returning invigilators and put advert out until January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Make sure all invigilators are trained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Agency staff may be used only if they have had training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Exam rooms - lack of appropriate rooms or main venues unavailable at short 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Exams officer unable to identify sufficient/appropriate rooms during exams timetable planning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Insufficient rooms available on peak exam days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 exam venues unavailable due to an unexpected incident at exam time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Students to be supervised under exam conditions until alternative arrangements made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Relocate to other venues in school – sports hall/classrooms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Special consideration to be applied for affected students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Staff offices to be used for one to one with access arrangements.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Failure of IT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LSM system failure at final entry deadline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LSM system failure during exams preparation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LSM system failure at results release time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Server back up available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Notify awarding bodies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Information from awarding bodies websites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Make entries on awarding bodies websites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Emergency evacuation of the exam room (or centre lock down)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Whole centre evacuation (or lock down) during exam time due to serious incident resulting in exam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being unable to start, proceed with or complete their exams.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Maintain security of exam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Maintain safety of students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Stop exam and write time on board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Evacuate as per evacuation procedure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Register to be taken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If safe, return to exam room and give full time to students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Special consideration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Contact awarding bodies for advice if unable to return to exam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Disruption of teaching time in the weeks before an exam – centre closed for an extended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closed or candidates are unable to attend for an extended period during normal teaching or study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supported time, interrupting the provision of normal teaching and learning.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SLT to communicate with parents, carers, students about potential disruption to teaching time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Alternative methods to learning – online resources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Alternative site arranged.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TAGs used if exams are cancelled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 Candidates unable to take examinations because of a crisis – centre remains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are unable to attend the examination centre to take examinations as normal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Liaise with students to see if exam can be taken in another venue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Advise awarding bodies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Special consideration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Centre unable to open as normal during the examination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(including in the event of the centre being unavailable for examinations owing to an unforeseen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emergency).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unable to open as normal for scheduled examinations.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Awarding bodies notified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Discovery Park (large site in easy transportation distance) to be used in agreement with awarding bodies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Special consideration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Disruption in the distribution of examination 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Disruption to the distribution of examination papers to the centre in advance of examinations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Exam papers logged in reception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Copy of timetable kept by exams officer and record kept of all exam scripts that arrive in secure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storage and record also kept in data/printer room.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Awarding bodies advised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Download scripts from awarding bodies and keep under secure storage.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Second pair of eyes would apply to check date time and subject of exam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Last resort to schedule exam on an alternative date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Disruption to the transportation of completed examination scripts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Delay in normal collection arrangements for completed examination scripts/assessment evidence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Advise awarding bodies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Ensure secure storage of completed exam papers until collection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13.Assessment evidence is not available to be marked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Large scale damage to or destruction of completed examination scripts/assessment evidence before it can be marked.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examination scripts/assessment evidence does not reach awarding organisations.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Marks to be based on other evidence of candidate achievement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Special consideration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Retake affected assessment at following assessment window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14. Centre unable to distribute results as normal or facilitate post results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(including in the event of the centre being unavailable on results day owing to an unforeseen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emergency)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Criteria for implementation of the plan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is unable to access or manage the distribution of results to candidates, or to facilitate post-results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services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Centre actions to mitigate the impact of the disruption.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Inform parents/carers immediately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Post results information to be sent to students before they sit exams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Website/social media updates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footerReference r:id="rId17" w:type="default"/>
          <w:type w:val="nextPage"/>
          <w:pgSz w:h="16840" w:w="11900" w:orient="portrait"/>
          <w:pgMar w:bottom="1077" w:top="1077" w:left="992" w:right="1701" w:header="567" w:footer="227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Contact awarding bodies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7.0" w:type="dxa"/>
        <w:jc w:val="left"/>
        <w:tblInd w:w="3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8"/>
        <w:gridCol w:w="4449"/>
        <w:tblGridChange w:id="0">
          <w:tblGrid>
            <w:gridCol w:w="4338"/>
            <w:gridCol w:w="4449"/>
          </w:tblGrid>
        </w:tblGridChange>
      </w:tblGrid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Document Title: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Exam Contingency Policy 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Version: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Prepared by: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Craig Kelly 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Governing Body Acceptance Date: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5/10/23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Date for Next Review: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Annually </w:t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Verdana" w:cs="Verdana" w:eastAsia="Verdana" w:hAnsi="Verdan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vertAlign w:val="baseline"/>
                <w:rtl w:val="0"/>
              </w:rPr>
              <w:t xml:space="preserve">Link on School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baseline"/>
                <w:rtl w:val="0"/>
              </w:rPr>
              <w:t xml:space="preserve">https://www.lifeskillsmanor.co.uk/policies</w:t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8" w:type="first"/>
      <w:type w:val="nextPage"/>
      <w:pgSz w:h="16840" w:w="11900" w:orient="portrait"/>
      <w:pgMar w:bottom="1701" w:top="992" w:left="1077" w:right="1077" w:header="567" w:footer="227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115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16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4741.999999999998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8363"/>
      <w:tblGridChange w:id="0">
        <w:tblGrid>
          <w:gridCol w:w="6379"/>
          <w:gridCol w:w="8363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119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808080"/>
              <w:sz w:val="16"/>
              <w:szCs w:val="16"/>
              <w:vertAlign w:val="baseline"/>
              <w:rtl w:val="0"/>
            </w:rPr>
            <w:t xml:space="preserve"> </w:t>
          </w:r>
        </w:p>
      </w:tc>
      <w:tc>
        <w:tcPr>
          <w:vAlign w:val="top"/>
        </w:tcPr>
        <w:p w:rsidR="00000000" w:rsidDel="00000000" w:rsidP="00000000" w:rsidRDefault="00000000" w:rsidRPr="00000000" w14:paraId="0000011A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11D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1E">
          <w:pPr>
            <w:shd w:fill="ffffff" w:val="clear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781.0" w:type="dxa"/>
      <w:jc w:val="left"/>
      <w:tblBorders>
        <w:top w:color="ff1f64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6379"/>
      <w:gridCol w:w="3402"/>
      <w:tblGridChange w:id="0">
        <w:tblGrid>
          <w:gridCol w:w="6379"/>
          <w:gridCol w:w="340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121">
          <w:pPr>
            <w:shd w:fill="ffffff" w:val="clear"/>
            <w:rPr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808080"/>
              <w:sz w:val="16"/>
              <w:szCs w:val="16"/>
              <w:vertAlign w:val="baseline"/>
              <w:rtl w:val="0"/>
            </w:rPr>
            <w:t xml:space="preserve">© The Key Support Services Ltd | </w:t>
          </w:r>
          <w:hyperlink r:id="rId1">
            <w:r w:rsidDel="00000000" w:rsidR="00000000" w:rsidRPr="00000000">
              <w:rPr>
                <w:color w:val="808080"/>
                <w:sz w:val="16"/>
                <w:szCs w:val="16"/>
                <w:u w:val="single"/>
                <w:vertAlign w:val="baseline"/>
                <w:rtl w:val="0"/>
              </w:rPr>
              <w:t xml:space="preserve">thekeysupport.com/terms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22">
          <w:pPr>
            <w:shd w:fill="ffffff" w:val="clear"/>
            <w:jc w:val="right"/>
            <w:rPr>
              <w:color w:val="bfbfbf"/>
              <w:sz w:val="17"/>
              <w:szCs w:val="17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1f64"/>
        <w:sz w:val="16"/>
        <w:szCs w:val="16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rPr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558405" cy="10695940"/>
          <wp:effectExtent b="0" l="0" r="0" t="0"/>
          <wp:wrapNone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pict>
        <v:shape id="WordPictureWatermark1" style="position:absolute;width:595.0pt;height:842.0pt;rotation:0;z-index:-503316481;mso-position-horizontal-relative:left-margin-area;mso-position-horizontal:center;mso-position-vertical-relative:top-margin-area;mso-position-vertical:center;" alt="keydocs-background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9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b w:val="1"/>
      <w:color w:val="ff1f64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59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d1c2f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b w:val="1"/>
      <w:color w:val="7f7f7f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6Abstract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ff1f64"/>
      <w:w w:val="100"/>
      <w:position w:val="-1"/>
      <w:sz w:val="28"/>
      <w:szCs w:val="36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2Subheadpink"/>
    <w:next w:val="Normal"/>
    <w:autoRedefine w:val="0"/>
    <w:hidden w:val="0"/>
    <w:qFormat w:val="0"/>
    <w:pPr>
      <w:keepNext w:val="1"/>
      <w:keepLines w:val="1"/>
      <w:suppressAutoHyphens w:val="1"/>
      <w:spacing w:after="120" w:before="120" w:line="259" w:lineRule="auto"/>
      <w:ind w:leftChars="-1" w:rightChars="0" w:firstLineChars="-1"/>
      <w:textDirection w:val="btLr"/>
      <w:textAlignment w:val="top"/>
      <w:outlineLvl w:val="1"/>
    </w:pPr>
    <w:rPr>
      <w:b w:val="1"/>
      <w:color w:val="0d1c2f"/>
      <w:w w:val="100"/>
      <w:position w:val="-1"/>
      <w:sz w:val="24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color w:val="7f7f7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b w:val="1"/>
      <w:color w:val="ff1f64"/>
      <w:w w:val="100"/>
      <w:position w:val="-1"/>
      <w:sz w:val="28"/>
      <w:szCs w:val="36"/>
      <w:effect w:val="none"/>
      <w:vertAlign w:val="baseline"/>
      <w:cs w:val="0"/>
      <w:em w:val="none"/>
      <w:lang w:eastAsia="en-US"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bCs w:val="1"/>
      <w:color w:val="7f7f7f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shd w:color="auto" w:fill="ffffff" w:val="clear"/>
      <w:suppressAutoHyphens w:val="1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color w:val="808080"/>
      <w:w w:val="100"/>
      <w:position w:val="-1"/>
      <w:sz w:val="16"/>
      <w:szCs w:val="16"/>
      <w:effect w:val="none"/>
      <w:bdr w:color="auto" w:frame="1" w:space="0" w:sz="0"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color w:val="808080"/>
      <w:w w:val="100"/>
      <w:position w:val="-1"/>
      <w:sz w:val="16"/>
      <w:szCs w:val="16"/>
      <w:effect w:val="none"/>
      <w:bdr w:color="auto" w:frame="1" w:space="0" w:sz="0" w:val="none"/>
      <w:shd w:color="auto" w:fill="ffffff" w:val="clear"/>
      <w:vertAlign w:val="baseline"/>
      <w:cs w:val="0"/>
      <w:em w:val="none"/>
      <w:lang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72cc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1bodycopy10pt">
    <w:name w:val="1 body copy 10pt"/>
    <w:basedOn w:val="Normal"/>
    <w:next w:val="1bodycopy10p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2Char">
    <w:name w:val="Heading 2 Char"/>
    <w:next w:val="Heading2Char"/>
    <w:autoRedefine w:val="0"/>
    <w:hidden w:val="0"/>
    <w:qFormat w:val="0"/>
    <w:rPr>
      <w:b w:val="1"/>
      <w:color w:val="0d1c2f"/>
      <w:w w:val="100"/>
      <w:position w:val="-1"/>
      <w:sz w:val="24"/>
      <w:szCs w:val="26"/>
      <w:effect w:val="none"/>
      <w:vertAlign w:val="baseline"/>
      <w:cs w:val="0"/>
      <w:em w:val="none"/>
      <w:lang w:eastAsia="en-US" w:val="en-US"/>
    </w:rPr>
  </w:style>
  <w:style w:type="paragraph" w:styleId="2Subheadpink">
    <w:name w:val="2 Subhead pink"/>
    <w:next w:val="1bodycopy10pt"/>
    <w:autoRedefine w:val="0"/>
    <w:hidden w:val="0"/>
    <w:qFormat w:val="0"/>
    <w:pPr>
      <w:suppressAutoHyphens w:val="1"/>
      <w:spacing w:after="120" w:before="360" w:line="259" w:lineRule="auto"/>
      <w:ind w:leftChars="-1" w:rightChars="0" w:firstLineChars="-1"/>
      <w:textDirection w:val="btLr"/>
      <w:textAlignment w:val="top"/>
      <w:outlineLvl w:val="0"/>
    </w:pPr>
    <w:rPr>
      <w:b w:val="1"/>
      <w:color w:val="ff1f64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SlugTheKey">
    <w:name w:val="Slug The Key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jc w:val="center"/>
      <w:textDirection w:val="btLr"/>
      <w:textAlignment w:val="top"/>
      <w:outlineLvl w:val="0"/>
    </w:pPr>
    <w:rPr>
      <w:cap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TKheadingpink">
    <w:name w:val="TK heading pink"/>
    <w:next w:val="1bodycopy10pt"/>
    <w:autoRedefine w:val="0"/>
    <w:hidden w:val="0"/>
    <w:qFormat w:val="0"/>
    <w:pPr>
      <w:suppressAutoHyphens w:val="0"/>
      <w:spacing w:after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ff1f64"/>
      <w:w w:val="100"/>
      <w:position w:val="-1"/>
      <w:sz w:val="6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8DON'Tsbullet">
    <w:name w:val="8 DON'Ts bullet"/>
    <w:basedOn w:val="Normal"/>
    <w:next w:val="8DON'Tsbullet"/>
    <w:autoRedefine w:val="0"/>
    <w:hidden w:val="0"/>
    <w:qFormat w:val="0"/>
    <w:pPr>
      <w:numPr>
        <w:ilvl w:val="0"/>
        <w:numId w:val="10"/>
      </w:numPr>
      <w:suppressAutoHyphens w:val="0"/>
      <w:spacing w:after="120" w:line="1" w:lineRule="atLeast"/>
      <w:ind w:right="284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7DOsbullet">
    <w:name w:val="7 DOs bullet"/>
    <w:basedOn w:val="Normal"/>
    <w:next w:val="7DOsbullet"/>
    <w:autoRedefine w:val="0"/>
    <w:hidden w:val="0"/>
    <w:qFormat w:val="0"/>
    <w:pPr>
      <w:numPr>
        <w:ilvl w:val="0"/>
        <w:numId w:val="11"/>
      </w:numPr>
      <w:suppressAutoHyphens w:val="1"/>
      <w:spacing w:after="120" w:line="1" w:lineRule="atLeast"/>
      <w:ind w:right="284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4Bulletedcopyblue">
    <w:name w:val="4 Bulleted copy blue"/>
    <w:basedOn w:val="Normal"/>
    <w:next w:val="4Bulletedcopyblue"/>
    <w:autoRedefine w:val="0"/>
    <w:hidden w:val="0"/>
    <w:qFormat w:val="0"/>
    <w:pPr>
      <w:numPr>
        <w:ilvl w:val="0"/>
        <w:numId w:val="12"/>
      </w:num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9Boxheading">
    <w:name w:val="9 Box heading"/>
    <w:basedOn w:val="Normal"/>
    <w:next w:val="9Boxheading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12263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9Secondbullet">
    <w:name w:val="9 Second bullet"/>
    <w:basedOn w:val="1bodycopy10pt"/>
    <w:next w:val="9Secondbullet"/>
    <w:autoRedefine w:val="0"/>
    <w:hidden w:val="0"/>
    <w:qFormat w:val="0"/>
    <w:pPr>
      <w:numPr>
        <w:ilvl w:val="0"/>
        <w:numId w:val="13"/>
      </w:numPr>
      <w:suppressAutoHyphens w:val="1"/>
      <w:spacing w:after="120" w:line="1" w:lineRule="atLeast"/>
      <w:ind w:right="567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MS Mincho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1bodycopy10ptChar">
    <w:name w:val="1 body copy 10pt Char"/>
    <w:next w:val="1bodycopy10pt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character" w:styleId="9SecondbulletChar">
    <w:name w:val="9 Second bullet Char"/>
    <w:next w:val="9Secondbullet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MS Mincho" w:hAnsi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rong">
    <w:name w:val="Strong"/>
    <w:next w:val="Strong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paragraph" w:styleId="6Abstract">
    <w:name w:val="6 Abstract"/>
    <w:next w:val="6Abstract"/>
    <w:autoRedefine w:val="0"/>
    <w:hidden w:val="0"/>
    <w:qFormat w:val="0"/>
    <w:pPr>
      <w:suppressAutoHyphens w:val="1"/>
      <w:spacing w:after="24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OC2">
    <w:name w:val="TOC 2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="220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">
    <w:name w:val="Text"/>
    <w:basedOn w:val="BodyText"/>
    <w:next w:val="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TextChar">
    <w:name w:val="Text Char"/>
    <w:next w:val="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9TableHeading">
    <w:name w:val="9 Table Heading"/>
    <w:basedOn w:val="Text"/>
    <w:next w:val="9TableHeading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caps w:val="1"/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9TableHeadingChar">
    <w:name w:val="9 Table Heading Char"/>
    <w:next w:val="9TableHeadingChar"/>
    <w:autoRedefine w:val="0"/>
    <w:hidden w:val="0"/>
    <w:qFormat w:val="0"/>
    <w:rPr>
      <w:cap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odycopyitalic">
    <w:name w:val="Body copy italic"/>
    <w:basedOn w:val="Normal"/>
    <w:next w:val="Bodycopyitalic"/>
    <w:autoRedefine w:val="0"/>
    <w:hidden w:val="0"/>
    <w:qFormat w:val="0"/>
    <w:pPr>
      <w:suppressAutoHyphens w:val="1"/>
      <w:spacing w:after="120" w:line="1" w:lineRule="atLeast"/>
      <w:ind w:right="284" w:leftChars="-1" w:rightChars="0" w:firstLineChars="-1"/>
      <w:textDirection w:val="btLr"/>
      <w:textAlignment w:val="top"/>
      <w:outlineLvl w:val="0"/>
    </w:pPr>
    <w:rPr>
      <w:i w:val="1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w w:val="100"/>
      <w:position w:val="-1"/>
      <w:sz w:val="22"/>
      <w:szCs w:val="24"/>
      <w:effect w:val="none"/>
      <w:vertAlign w:val="baseline"/>
      <w:cs w:val="0"/>
      <w:em w:val="none"/>
      <w:lang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Heading">
    <w:name w:val="TableHeading"/>
    <w:basedOn w:val="1bodycopy10pt"/>
    <w:next w:val="TableHeading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TableHeadingChar">
    <w:name w:val="TableHeading Char"/>
    <w:next w:val="TableHeading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 w:eastAsia="en-US" w:val="en-US"/>
    </w:rPr>
  </w:style>
  <w:style w:type="table" w:styleId="TheKeytable">
    <w:name w:val="The Key table"/>
    <w:basedOn w:val="TableNormal"/>
    <w:next w:val="TheKeytab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heKeytable"/>
      <w:jc w:val="left"/>
      <w:tblBorders>
        <w:top w:color="b9b9b9" w:space="0" w:sz="4" w:val="single"/>
        <w:left w:color="b9b9b9" w:space="0" w:sz="4" w:val="single"/>
        <w:bottom w:color="b9b9b9" w:space="0" w:sz="4" w:val="single"/>
        <w:right w:color="b9b9b9" w:space="0" w:sz="4" w:val="single"/>
        <w:insideH w:color="b9b9b9" w:space="0" w:sz="4" w:val="single"/>
        <w:insideV w:color="b9b9b9" w:space="0" w:sz="4" w:val="single"/>
      </w:tblBorders>
      <w:tblCellMar>
        <w:top w:w="57.0" w:type="dxa"/>
        <w:bottom w:w="57.0" w:type="dxa"/>
      </w:tblCellMar>
    </w:tblPr>
  </w:style>
  <w:style w:type="table" w:styleId="Style1">
    <w:name w:val="Style1"/>
    <w:basedOn w:val="TheKeytable"/>
    <w:next w:val="Sty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yle1"/>
      <w:jc w:val="left"/>
    </w:tblPr>
  </w:style>
  <w:style w:type="paragraph" w:styleId="Tablecopy">
    <w:name w:val="Table copy"/>
    <w:basedOn w:val="1bodycopy10pt"/>
    <w:next w:val="Tablecopy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headwithpointer">
    <w:name w:val="Subhead with pointer"/>
    <w:basedOn w:val="Normal"/>
    <w:next w:val="6Abstract"/>
    <w:autoRedefine w:val="0"/>
    <w:hidden w:val="0"/>
    <w:qFormat w:val="0"/>
    <w:pPr>
      <w:numPr>
        <w:ilvl w:val="0"/>
        <w:numId w:val="14"/>
      </w:numPr>
      <w:suppressAutoHyphens w:val="1"/>
      <w:spacing w:after="120" w:before="120" w:line="1" w:lineRule="atLeast"/>
      <w:ind w:right="850" w:leftChars="-1" w:rightChars="0" w:firstLineChars="-1"/>
      <w:textDirection w:val="btLr"/>
      <w:textAlignment w:val="top"/>
      <w:outlineLvl w:val="0"/>
    </w:pPr>
    <w:rPr>
      <w:b w:val="1"/>
      <w:bCs w:val="1"/>
      <w:color w:val="ff1f64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1bodycopy11pt">
    <w:name w:val="1 body copy 11pt"/>
    <w:next w:val="1bodycopy11pt"/>
    <w:autoRedefine w:val="0"/>
    <w:hidden w:val="0"/>
    <w:qFormat w:val="0"/>
    <w:pPr>
      <w:suppressAutoHyphens w:val="1"/>
      <w:spacing w:after="120" w:line="1" w:lineRule="atLeast"/>
      <w:ind w:right="85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headwithpointerChar">
    <w:name w:val="Subhead with pointer Char"/>
    <w:next w:val="SubheadwithpointerChar"/>
    <w:autoRedefine w:val="0"/>
    <w:hidden w:val="0"/>
    <w:qFormat w:val="0"/>
    <w:rPr>
      <w:b w:val="1"/>
      <w:bCs w:val="1"/>
      <w:color w:val="ff1f64"/>
      <w:w w:val="100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1">
    <w:name w:val="Title 1"/>
    <w:basedOn w:val="Heading1"/>
    <w:next w:val="Title1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0"/>
      <w:bCs w:val="1"/>
      <w:color w:val="ff1f64"/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en-US"/>
    </w:rPr>
  </w:style>
  <w:style w:type="character" w:styleId="Title1Char">
    <w:name w:val="Title 1 Char"/>
    <w:next w:val="Title1Char"/>
    <w:autoRedefine w:val="0"/>
    <w:hidden w:val="0"/>
    <w:qFormat w:val="0"/>
    <w:rPr>
      <w:bCs w:val="1"/>
      <w:w w:val="100"/>
      <w:position w:val="-1"/>
      <w:sz w:val="52"/>
      <w:szCs w:val="52"/>
      <w:effect w:val="none"/>
      <w:vertAlign w:val="baseline"/>
      <w:cs w:val="0"/>
      <w:em w:val="none"/>
      <w:lang w:eastAsia="en-US" w:val="en-US"/>
    </w:rPr>
  </w:style>
  <w:style w:type="paragraph" w:styleId="TOCHeading">
    <w:name w:val="TOC Heading"/>
    <w:basedOn w:val="Heading1"/>
    <w:next w:val="Normal"/>
    <w:autoRedefine w:val="0"/>
    <w:hidden w:val="0"/>
    <w:qFormat w:val="1"/>
    <w:pPr>
      <w:keepNext w:val="1"/>
      <w:keepLines w:val="1"/>
      <w:suppressAutoHyphens w:val="1"/>
      <w:spacing w:after="0" w:before="240" w:line="259" w:lineRule="auto"/>
      <w:ind w:leftChars="-1" w:rightChars="0" w:firstLineChars="-1"/>
      <w:textDirection w:val="btLr"/>
      <w:textAlignment w:val="top"/>
      <w:outlineLvl w:val="9"/>
    </w:pPr>
    <w:rPr>
      <w:rFonts w:ascii="Calibri Light" w:cs="Times New Roman" w:eastAsia="Times New Roman" w:hAnsi="Calibri Light"/>
      <w:b w:val="0"/>
      <w:color w:val="0d1c2f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TOC1">
    <w:name w:val="TOC 1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3Policytitle">
    <w:name w:val="3 Policy title"/>
    <w:basedOn w:val="Normal"/>
    <w:next w:val="3Policytitle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table" w:styleId="TheKeypolicytable">
    <w:name w:val="The Key policy table"/>
    <w:basedOn w:val="TableNormal"/>
    <w:next w:val="TheKeypolicytab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heKeypolicytable"/>
      <w:jc w:val="left"/>
      <w:tblBorders>
        <w:top w:color="b9b9b9" w:space="0" w:sz="4" w:val="single"/>
        <w:left w:color="b9b9b9" w:space="0" w:sz="4" w:val="single"/>
        <w:bottom w:color="b9b9b9" w:space="0" w:sz="4" w:val="single"/>
        <w:right w:color="b9b9b9" w:space="0" w:sz="4" w:val="single"/>
        <w:insideH w:color="b9b9b9" w:space="0" w:sz="4" w:val="single"/>
        <w:insideV w:color="b9b9b9" w:space="0" w:sz="4" w:val="single"/>
      </w:tblBorders>
      <w:tblCellMar>
        <w:top w:w="57.0" w:type="dxa"/>
        <w:bottom w:w="57.0" w:type="dxa"/>
      </w:tblCellMar>
    </w:tblPr>
  </w:style>
  <w:style w:type="paragraph" w:styleId="Tablebodycopy">
    <w:name w:val="Table body copy"/>
    <w:basedOn w:val="1bodycopy10pt"/>
    <w:next w:val="Tablebodycopy"/>
    <w:autoRedefine w:val="0"/>
    <w:hidden w:val="0"/>
    <w:qFormat w:val="0"/>
    <w:pPr>
      <w:keepLines w:val="1"/>
      <w:suppressAutoHyphens w:val="1"/>
      <w:spacing w:after="60" w:line="1" w:lineRule="atLeast"/>
      <w:ind w:leftChars="-1" w:rightChars="0" w:firstLineChars="-1"/>
      <w:textDirection w:val="btLr"/>
      <w:textAlignment w:val="top"/>
      <w:textboxTightWrap w:val="allLines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edcopylevel2">
    <w:name w:val="Bulleted copy level 2"/>
    <w:basedOn w:val="1bodycopy10pt"/>
    <w:next w:val="Bulletedcopylevel2"/>
    <w:autoRedefine w:val="0"/>
    <w:hidden w:val="0"/>
    <w:qFormat w:val="0"/>
    <w:pPr>
      <w:numPr>
        <w:ilvl w:val="0"/>
        <w:numId w:val="15"/>
      </w:num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ablecopybulleted">
    <w:name w:val="Table copy bulleted"/>
    <w:basedOn w:val="Tablebodycopy"/>
    <w:next w:val="Tablecopybulleted"/>
    <w:autoRedefine w:val="0"/>
    <w:hidden w:val="0"/>
    <w:qFormat w:val="0"/>
    <w:pPr>
      <w:keepLines w:val="1"/>
      <w:numPr>
        <w:ilvl w:val="0"/>
        <w:numId w:val="16"/>
      </w:numPr>
      <w:suppressAutoHyphens w:val="1"/>
      <w:spacing w:after="60" w:line="1" w:lineRule="atLeast"/>
      <w:ind w:leftChars="-1" w:rightChars="0" w:firstLineChars="-1"/>
      <w:textDirection w:val="btLr"/>
      <w:textAlignment w:val="top"/>
      <w:textboxTightWrap w:val="allLines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aption1">
    <w:name w:val="Caption 1"/>
    <w:basedOn w:val="Normal"/>
    <w:next w:val="Caption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color w:val="f15f22"/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head2">
    <w:name w:val="Subhead 2"/>
    <w:basedOn w:val="1bodycopy10pt"/>
    <w:next w:val="1bodycopy10pt"/>
    <w:autoRedefine w:val="0"/>
    <w:hidden w:val="0"/>
    <w:qFormat w:val="0"/>
    <w:pPr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12263f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head2Char">
    <w:name w:val="Subhead 2 Char"/>
    <w:next w:val="Subhead2Char"/>
    <w:autoRedefine w:val="0"/>
    <w:hidden w:val="0"/>
    <w:qFormat w:val="0"/>
    <w:rPr>
      <w:b w:val="1"/>
      <w:color w:val="12263f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TOC3">
    <w:name w:val="TOC 3"/>
    <w:basedOn w:val="Normal"/>
    <w:next w:val="Normal"/>
    <w:autoRedefine w:val="0"/>
    <w:hidden w:val="0"/>
    <w:qFormat w:val="1"/>
    <w:pPr>
      <w:suppressAutoHyphens w:val="1"/>
      <w:spacing w:after="100" w:line="1" w:lineRule="atLeast"/>
      <w:ind w:left="400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0"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OC4">
    <w:name w:val="TOC 4"/>
    <w:basedOn w:val="Normal"/>
    <w:next w:val="Normal"/>
    <w:autoRedefine w:val="0"/>
    <w:hidden w:val="0"/>
    <w:qFormat w:val="1"/>
    <w:pPr>
      <w:suppressAutoHyphens w:val="1"/>
      <w:spacing w:after="120" w:line="1" w:lineRule="atLeast"/>
      <w:ind w:left="600" w:leftChars="-1" w:rightChars="0" w:firstLineChars="-1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2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cq.org.uk/exams-office/general-regulations/notice-to-centres--exam-contingency-plan" TargetMode="External"/><Relationship Id="rId10" Type="http://schemas.openxmlformats.org/officeDocument/2006/relationships/hyperlink" Target="https://www.gov.uk/government/publications/exam-system-contingency-plan-england-wales-and-northern-ireland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jcq.org.uk/exams-office/general-regulations" TargetMode="External"/><Relationship Id="rId15" Type="http://schemas.openxmlformats.org/officeDocument/2006/relationships/footer" Target="footer3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ywEl5aZ8pNeGsflYR6KAMbPMA==">CgMxLjAyCGguZ2pkZ3hzMgloLjMwajB6bGwyCWguMWZvYjl0ZTIJaC4zem55c2g3MgloLjJldDkycDAyCGgudHlqY3d0MgloLjNkeTZ2a20yCWguMXQzaDVzZjgAciExY0l6SzdrelFRRHhqaHJQTjh2REt6VVJFSUdyX2FDVzA=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2023-03-29T10:44:00Z</dcterms:created>
  <dc:creator>Ciara Lamb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