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5D56" w14:textId="77777777" w:rsidR="00AB45E4" w:rsidRDefault="00CE07FE">
      <w:pPr>
        <w:pStyle w:val="TOCHeading"/>
        <w:spacing w:before="0" w:after="120"/>
        <w:jc w:val="center"/>
      </w:pPr>
      <w:bookmarkStart w:id="0" w:name="_Toc492898573"/>
      <w:r>
        <w:rPr>
          <w:noProof/>
        </w:rPr>
        <w:drawing>
          <wp:inline distT="0" distB="0" distL="0" distR="0" wp14:anchorId="283B291A" wp14:editId="00A49933">
            <wp:extent cx="3718563" cy="1859276"/>
            <wp:effectExtent l="0" t="0" r="0" b="7624"/>
            <wp:docPr id="1286319916"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2A45ADF2" w14:textId="77777777" w:rsidR="00AB45E4" w:rsidRDefault="00AB45E4">
      <w:pPr>
        <w:rPr>
          <w:rFonts w:ascii="Aptos Display" w:hAnsi="Aptos Display"/>
        </w:rPr>
      </w:pPr>
    </w:p>
    <w:p w14:paraId="4E2EE093" w14:textId="77777777" w:rsidR="00AB45E4" w:rsidRDefault="00AB45E4">
      <w:pPr>
        <w:rPr>
          <w:rFonts w:ascii="Aptos Display" w:hAnsi="Aptos Display"/>
        </w:rPr>
      </w:pPr>
    </w:p>
    <w:p w14:paraId="776A4210" w14:textId="77777777" w:rsidR="00AB45E4" w:rsidRDefault="00CE07FE">
      <w:r>
        <w:rPr>
          <w:rFonts w:ascii="Aptos Display" w:hAnsi="Aptos Display"/>
          <w:noProof/>
        </w:rPr>
        <mc:AlternateContent>
          <mc:Choice Requires="wps">
            <w:drawing>
              <wp:anchor distT="0" distB="0" distL="114300" distR="114300" simplePos="0" relativeHeight="251659264" behindDoc="0" locked="0" layoutInCell="1" allowOverlap="1" wp14:anchorId="4595E955" wp14:editId="23253760">
                <wp:simplePos x="0" y="0"/>
                <wp:positionH relativeFrom="column">
                  <wp:posOffset>123828</wp:posOffset>
                </wp:positionH>
                <wp:positionV relativeFrom="paragraph">
                  <wp:posOffset>53336</wp:posOffset>
                </wp:positionV>
                <wp:extent cx="5637532" cy="0"/>
                <wp:effectExtent l="0" t="19050" r="20318" b="19050"/>
                <wp:wrapNone/>
                <wp:docPr id="648708693" name="Straight Connector 2"/>
                <wp:cNvGraphicFramePr/>
                <a:graphic xmlns:a="http://schemas.openxmlformats.org/drawingml/2006/main">
                  <a:graphicData uri="http://schemas.microsoft.com/office/word/2010/wordprocessingShape">
                    <wps:wsp>
                      <wps:cNvCnPr/>
                      <wps:spPr>
                        <a:xfrm>
                          <a:off x="0" y="0"/>
                          <a:ext cx="5637532" cy="0"/>
                        </a:xfrm>
                        <a:prstGeom prst="straightConnector1">
                          <a:avLst/>
                        </a:prstGeom>
                        <a:noFill/>
                        <a:ln w="28575" cap="flat">
                          <a:solidFill>
                            <a:srgbClr val="0070C0"/>
                          </a:solidFill>
                          <a:prstDash val="solid"/>
                          <a:miter/>
                        </a:ln>
                      </wps:spPr>
                      <wps:bodyPr/>
                    </wps:wsp>
                  </a:graphicData>
                </a:graphic>
              </wp:anchor>
            </w:drawing>
          </mc:Choice>
          <mc:Fallback>
            <w:pict>
              <v:shapetype w14:anchorId="2BB6EEDA" id="_x0000_t32" coordsize="21600,21600" o:spt="32" o:oned="t" path="m,l21600,21600e" filled="f">
                <v:path arrowok="t" fillok="f" o:connecttype="none"/>
                <o:lock v:ext="edit" shapetype="t"/>
              </v:shapetype>
              <v:shape id="Straight Connector 2" o:spid="_x0000_s1026" type="#_x0000_t32" style="position:absolute;margin-left:9.75pt;margin-top:4.2pt;width:443.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" strokecolor="#0070c0" strokeweight="2.25pt">
                <v:stroke joinstyle="miter"/>
              </v:shape>
            </w:pict>
          </mc:Fallback>
        </mc:AlternateContent>
      </w:r>
    </w:p>
    <w:p w14:paraId="427557C6" w14:textId="77777777" w:rsidR="00AB45E4" w:rsidRDefault="00AB45E4">
      <w:pPr>
        <w:rPr>
          <w:rFonts w:ascii="Aptos Display" w:hAnsi="Aptos Display"/>
        </w:rPr>
      </w:pPr>
    </w:p>
    <w:p w14:paraId="2AB5196D" w14:textId="77777777" w:rsidR="00AB45E4" w:rsidRDefault="00CE07FE">
      <w:pPr>
        <w:jc w:val="center"/>
        <w:rPr>
          <w:rFonts w:ascii="Aptos Display" w:hAnsi="Aptos Display"/>
          <w:b/>
          <w:color w:val="0070C0"/>
          <w:sz w:val="96"/>
          <w:szCs w:val="96"/>
        </w:rPr>
      </w:pPr>
      <w:r>
        <w:rPr>
          <w:rFonts w:ascii="Aptos Display" w:hAnsi="Aptos Display"/>
          <w:b/>
          <w:color w:val="0070C0"/>
          <w:sz w:val="96"/>
          <w:szCs w:val="96"/>
        </w:rPr>
        <w:t>Appraisal Policy</w:t>
      </w:r>
    </w:p>
    <w:p w14:paraId="009D43EB" w14:textId="77777777" w:rsidR="00AB45E4" w:rsidRDefault="00CE07FE">
      <w:pPr>
        <w:jc w:val="center"/>
      </w:pPr>
      <w:r>
        <w:rPr>
          <w:rFonts w:ascii="Aptos Display" w:hAnsi="Aptos Display"/>
          <w:noProof/>
        </w:rPr>
        <mc:AlternateContent>
          <mc:Choice Requires="wps">
            <w:drawing>
              <wp:anchor distT="0" distB="0" distL="114300" distR="114300" simplePos="0" relativeHeight="251660288" behindDoc="0" locked="0" layoutInCell="1" allowOverlap="1" wp14:anchorId="65CA267B" wp14:editId="173316E6">
                <wp:simplePos x="0" y="0"/>
                <wp:positionH relativeFrom="column">
                  <wp:posOffset>123828</wp:posOffset>
                </wp:positionH>
                <wp:positionV relativeFrom="paragraph">
                  <wp:posOffset>19046</wp:posOffset>
                </wp:positionV>
                <wp:extent cx="5637532" cy="0"/>
                <wp:effectExtent l="0" t="19050" r="20318" b="19050"/>
                <wp:wrapNone/>
                <wp:docPr id="2128052186" name="Straight Connector 2"/>
                <wp:cNvGraphicFramePr/>
                <a:graphic xmlns:a="http://schemas.openxmlformats.org/drawingml/2006/main">
                  <a:graphicData uri="http://schemas.microsoft.com/office/word/2010/wordprocessingShape">
                    <wps:wsp>
                      <wps:cNvCnPr/>
                      <wps:spPr>
                        <a:xfrm>
                          <a:off x="0" y="0"/>
                          <a:ext cx="5637532" cy="0"/>
                        </a:xfrm>
                        <a:prstGeom prst="straightConnector1">
                          <a:avLst/>
                        </a:prstGeom>
                        <a:noFill/>
                        <a:ln w="28575" cap="flat">
                          <a:solidFill>
                            <a:srgbClr val="0070C0"/>
                          </a:solidFill>
                          <a:prstDash val="solid"/>
                          <a:miter/>
                        </a:ln>
                      </wps:spPr>
                      <wps:bodyPr/>
                    </wps:wsp>
                  </a:graphicData>
                </a:graphic>
              </wp:anchor>
            </w:drawing>
          </mc:Choice>
          <mc:Fallback>
            <w:pict>
              <v:shape w14:anchorId="1D483B32" id="Straight Connector 2" o:spid="_x0000_s1026" type="#_x0000_t32" style="position:absolute;margin-left:9.75pt;margin-top:1.5pt;width:443.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" strokecolor="#0070c0" strokeweight="2.25pt">
                <v:stroke joinstyle="miter"/>
              </v:shape>
            </w:pict>
          </mc:Fallback>
        </mc:AlternateContent>
      </w:r>
    </w:p>
    <w:p w14:paraId="2C432F44" w14:textId="77777777" w:rsidR="00AB45E4" w:rsidRDefault="00AB45E4">
      <w:pPr>
        <w:jc w:val="center"/>
        <w:rPr>
          <w:rFonts w:ascii="Aptos Display" w:hAnsi="Aptos Display"/>
          <w:b/>
          <w:color w:val="0070C0"/>
          <w:sz w:val="96"/>
          <w:szCs w:val="96"/>
        </w:rPr>
      </w:pPr>
    </w:p>
    <w:p w14:paraId="28791394" w14:textId="77777777" w:rsidR="00AB45E4" w:rsidRDefault="00AB45E4">
      <w:pPr>
        <w:jc w:val="center"/>
        <w:rPr>
          <w:rFonts w:ascii="Aptos Display" w:hAnsi="Aptos Display"/>
          <w:b/>
          <w:color w:val="0070C0"/>
          <w:sz w:val="96"/>
          <w:szCs w:val="96"/>
        </w:rPr>
      </w:pPr>
    </w:p>
    <w:p w14:paraId="47F0EBDF" w14:textId="67C92860" w:rsidR="00AB45E4" w:rsidRDefault="00CE07FE">
      <w:pPr>
        <w:jc w:val="center"/>
      </w:pPr>
      <w:r>
        <w:rPr>
          <w:rFonts w:ascii="Aptos Display" w:hAnsi="Aptos Display"/>
          <w:b/>
          <w:color w:val="0070C0"/>
          <w:sz w:val="72"/>
          <w:szCs w:val="72"/>
        </w:rPr>
        <w:t xml:space="preserve">November 2025 </w:t>
      </w:r>
    </w:p>
    <w:p w14:paraId="009596B4" w14:textId="77777777" w:rsidR="00AB45E4" w:rsidRDefault="00AB45E4">
      <w:pPr>
        <w:suppressAutoHyphens w:val="0"/>
        <w:spacing w:after="160" w:line="276" w:lineRule="auto"/>
        <w:rPr>
          <w:rFonts w:eastAsia="Times New Roman" w:cs="Arial"/>
          <w:b/>
          <w:color w:val="0D1C2F"/>
          <w:sz w:val="28"/>
          <w:szCs w:val="28"/>
        </w:rPr>
      </w:pPr>
    </w:p>
    <w:p w14:paraId="05C33A88" w14:textId="77777777" w:rsidR="00AB45E4" w:rsidRDefault="00AB45E4">
      <w:pPr>
        <w:suppressAutoHyphens w:val="0"/>
        <w:spacing w:after="160" w:line="276" w:lineRule="auto"/>
        <w:rPr>
          <w:rFonts w:eastAsia="Times New Roman" w:cs="Arial"/>
          <w:b/>
          <w:color w:val="0D1C2F"/>
          <w:sz w:val="28"/>
          <w:szCs w:val="28"/>
        </w:rPr>
      </w:pPr>
    </w:p>
    <w:p w14:paraId="2DA91D4B" w14:textId="77777777" w:rsidR="00AB45E4" w:rsidRDefault="00AB45E4">
      <w:pPr>
        <w:suppressAutoHyphens w:val="0"/>
        <w:spacing w:after="160" w:line="276" w:lineRule="auto"/>
        <w:rPr>
          <w:rFonts w:eastAsia="Times New Roman" w:cs="Arial"/>
          <w:b/>
          <w:color w:val="0D1C2F"/>
          <w:sz w:val="28"/>
          <w:szCs w:val="28"/>
        </w:rPr>
      </w:pPr>
    </w:p>
    <w:p w14:paraId="4BD599D3" w14:textId="77777777" w:rsidR="00AB45E4" w:rsidRDefault="00AB45E4">
      <w:pPr>
        <w:suppressAutoHyphens w:val="0"/>
        <w:spacing w:after="160" w:line="276" w:lineRule="auto"/>
        <w:rPr>
          <w:rFonts w:eastAsia="Times New Roman" w:cs="Arial"/>
          <w:b/>
          <w:color w:val="0D1C2F"/>
          <w:sz w:val="28"/>
          <w:szCs w:val="28"/>
        </w:rPr>
      </w:pPr>
    </w:p>
    <w:p w14:paraId="5C7B0A75" w14:textId="77777777" w:rsidR="00AB45E4" w:rsidRDefault="00AB45E4">
      <w:pPr>
        <w:suppressAutoHyphens w:val="0"/>
        <w:spacing w:after="160" w:line="276" w:lineRule="auto"/>
        <w:rPr>
          <w:rFonts w:eastAsia="Times New Roman" w:cs="Arial"/>
          <w:b/>
          <w:color w:val="0D1C2F"/>
          <w:sz w:val="28"/>
          <w:szCs w:val="28"/>
        </w:rPr>
      </w:pPr>
    </w:p>
    <w:p w14:paraId="774D01B8" w14:textId="77777777" w:rsidR="00AB45E4" w:rsidRDefault="00CE07FE">
      <w:pPr>
        <w:pStyle w:val="TOCHeading"/>
        <w:spacing w:before="0" w:after="120"/>
        <w:outlineLvl w:val="9"/>
        <w:rPr>
          <w:rFonts w:ascii="Arial" w:hAnsi="Arial" w:cs="Arial"/>
          <w:b/>
          <w:sz w:val="28"/>
          <w:szCs w:val="28"/>
        </w:rPr>
      </w:pPr>
      <w:r>
        <w:rPr>
          <w:rFonts w:ascii="Arial" w:hAnsi="Arial" w:cs="Arial"/>
          <w:b/>
          <w:sz w:val="28"/>
          <w:szCs w:val="28"/>
        </w:rPr>
        <w:t>Contents</w:t>
      </w:r>
    </w:p>
    <w:p w14:paraId="6047DA2A" w14:textId="77777777" w:rsidR="00AB45E4" w:rsidRDefault="00CE07FE">
      <w:pPr>
        <w:pStyle w:val="TOC1"/>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r:id="rId8" w:history="1">
        <w:r>
          <w:rPr>
            <w:rStyle w:val="Hyperlink"/>
          </w:rPr>
          <w:t>1. Aims</w:t>
        </w:r>
        <w:r>
          <w:tab/>
          <w:t>3</w:t>
        </w:r>
      </w:hyperlink>
    </w:p>
    <w:p w14:paraId="3F8973DF" w14:textId="77777777" w:rsidR="00AB45E4" w:rsidRDefault="00CE07FE">
      <w:pPr>
        <w:pStyle w:val="TOC1"/>
      </w:pPr>
      <w:hyperlink r:id="rId9" w:history="1">
        <w:r>
          <w:rPr>
            <w:rStyle w:val="Hyperlink"/>
          </w:rPr>
          <w:t>2. Legislation and guidance</w:t>
        </w:r>
        <w:r>
          <w:tab/>
          <w:t>3</w:t>
        </w:r>
      </w:hyperlink>
    </w:p>
    <w:p w14:paraId="172EFA18" w14:textId="77777777" w:rsidR="00AB45E4" w:rsidRDefault="00CE07FE">
      <w:pPr>
        <w:pStyle w:val="TOC1"/>
      </w:pPr>
      <w:hyperlink r:id="rId10" w:history="1">
        <w:r>
          <w:rPr>
            <w:rStyle w:val="Hyperlink"/>
          </w:rPr>
          <w:t>3. Definitions</w:t>
        </w:r>
        <w:r>
          <w:tab/>
          <w:t>3</w:t>
        </w:r>
      </w:hyperlink>
    </w:p>
    <w:p w14:paraId="003D3A86" w14:textId="77777777" w:rsidR="00AB45E4" w:rsidRDefault="00CE07FE">
      <w:pPr>
        <w:pStyle w:val="TOC1"/>
      </w:pPr>
      <w:hyperlink r:id="rId11" w:history="1">
        <w:r>
          <w:rPr>
            <w:rStyle w:val="Hyperlink"/>
          </w:rPr>
          <w:t>4. Roles and responsibilities</w:t>
        </w:r>
        <w:r>
          <w:tab/>
          <w:t>4</w:t>
        </w:r>
      </w:hyperlink>
    </w:p>
    <w:p w14:paraId="47FAC4F3" w14:textId="77777777" w:rsidR="00AB45E4" w:rsidRDefault="00CE07FE">
      <w:pPr>
        <w:pStyle w:val="TOC1"/>
      </w:pPr>
      <w:hyperlink r:id="rId12" w:history="1">
        <w:r>
          <w:rPr>
            <w:rStyle w:val="Hyperlink"/>
          </w:rPr>
          <w:t>5. Capability procedure</w:t>
        </w:r>
        <w:r>
          <w:tab/>
          <w:t>4</w:t>
        </w:r>
      </w:hyperlink>
    </w:p>
    <w:p w14:paraId="7A6286CD" w14:textId="77777777" w:rsidR="00AB45E4" w:rsidRDefault="00CE07FE">
      <w:pPr>
        <w:pStyle w:val="TOC1"/>
      </w:pPr>
      <w:hyperlink r:id="rId13" w:history="1">
        <w:r>
          <w:rPr>
            <w:rStyle w:val="Hyperlink"/>
          </w:rPr>
          <w:t>6. Right to appeal</w:t>
        </w:r>
        <w:r>
          <w:tab/>
          <w:t>6</w:t>
        </w:r>
      </w:hyperlink>
    </w:p>
    <w:p w14:paraId="30DA5D9C" w14:textId="77777777" w:rsidR="00AB45E4" w:rsidRDefault="00CE07FE">
      <w:pPr>
        <w:pStyle w:val="TOC1"/>
      </w:pPr>
      <w:hyperlink r:id="rId14" w:history="1">
        <w:r>
          <w:rPr>
            <w:rStyle w:val="Hyperlink"/>
          </w:rPr>
          <w:t>7. Confidentiality</w:t>
        </w:r>
        <w:r>
          <w:tab/>
          <w:t>7</w:t>
        </w:r>
      </w:hyperlink>
    </w:p>
    <w:p w14:paraId="4445FC51" w14:textId="77777777" w:rsidR="00AB45E4" w:rsidRDefault="00CE07FE">
      <w:pPr>
        <w:pStyle w:val="TOC1"/>
      </w:pPr>
      <w:hyperlink r:id="rId15" w:history="1">
        <w:r>
          <w:rPr>
            <w:rStyle w:val="Hyperlink"/>
          </w:rPr>
          <w:t>8. Consistency of treatment and fairness</w:t>
        </w:r>
        <w:r>
          <w:tab/>
          <w:t>7</w:t>
        </w:r>
      </w:hyperlink>
    </w:p>
    <w:p w14:paraId="4BED96AD" w14:textId="77777777" w:rsidR="00AB45E4" w:rsidRDefault="00CE07FE">
      <w:pPr>
        <w:pStyle w:val="TOC1"/>
      </w:pPr>
      <w:hyperlink r:id="rId16" w:history="1">
        <w:r>
          <w:rPr>
            <w:rStyle w:val="Hyperlink"/>
          </w:rPr>
          <w:t>9. Monitoring arrangements</w:t>
        </w:r>
        <w:r>
          <w:tab/>
          <w:t>7</w:t>
        </w:r>
      </w:hyperlink>
    </w:p>
    <w:p w14:paraId="74BA5039" w14:textId="77777777" w:rsidR="00AB45E4" w:rsidRDefault="00CE07FE">
      <w:pPr>
        <w:pStyle w:val="TOC1"/>
      </w:pPr>
      <w:hyperlink r:id="rId17" w:history="1">
        <w:r>
          <w:rPr>
            <w:rStyle w:val="Hyperlink"/>
          </w:rPr>
          <w:t>10. Links with other policies</w:t>
        </w:r>
        <w:r>
          <w:tab/>
          <w:t>7</w:t>
        </w:r>
      </w:hyperlink>
    </w:p>
    <w:p w14:paraId="2AA491B2" w14:textId="77777777" w:rsidR="00AB45E4" w:rsidRDefault="00CE07FE">
      <w:pPr>
        <w:pStyle w:val="TOC3"/>
        <w:tabs>
          <w:tab w:val="right" w:leader="dot" w:pos="9736"/>
        </w:tabs>
      </w:pPr>
      <w:hyperlink r:id="rId18" w:history="1">
        <w:r>
          <w:rPr>
            <w:rStyle w:val="Hyperlink"/>
            <w:rFonts w:eastAsia="MS Gothic" w:cs="Arial"/>
            <w:b/>
            <w:bCs/>
          </w:rPr>
          <w:t>Appendix 1: capability action plan template</w:t>
        </w:r>
        <w:r>
          <w:tab/>
          <w:t>8</w:t>
        </w:r>
      </w:hyperlink>
    </w:p>
    <w:p w14:paraId="06761E3A" w14:textId="77777777" w:rsidR="00AB45E4" w:rsidRDefault="00CE07FE">
      <w:pPr>
        <w:pStyle w:val="Heading1"/>
      </w:pPr>
      <w:r>
        <w:fldChar w:fldCharType="end"/>
      </w:r>
    </w:p>
    <w:p w14:paraId="7C725243" w14:textId="77777777" w:rsidR="00AB45E4" w:rsidRDefault="00AB45E4"/>
    <w:p w14:paraId="48CAC136" w14:textId="77777777" w:rsidR="00AB45E4" w:rsidRDefault="00AB45E4"/>
    <w:p w14:paraId="25630B9C" w14:textId="77777777" w:rsidR="00AB45E4" w:rsidRDefault="00AB45E4"/>
    <w:p w14:paraId="63C13517" w14:textId="77777777" w:rsidR="00AB45E4" w:rsidRDefault="00AB45E4"/>
    <w:p w14:paraId="061E8FE5" w14:textId="77777777" w:rsidR="00AB45E4" w:rsidRDefault="00AB45E4"/>
    <w:p w14:paraId="5D83042E" w14:textId="77777777" w:rsidR="00AB45E4" w:rsidRDefault="00AB45E4"/>
    <w:p w14:paraId="06443733" w14:textId="77777777" w:rsidR="00AB45E4" w:rsidRDefault="00AB45E4"/>
    <w:p w14:paraId="020654E1" w14:textId="77777777" w:rsidR="00AB45E4" w:rsidRDefault="00AB45E4"/>
    <w:p w14:paraId="47F2FBCD" w14:textId="77777777" w:rsidR="00AB45E4" w:rsidRDefault="00AB45E4"/>
    <w:p w14:paraId="4FB2CCED" w14:textId="77777777" w:rsidR="00AB45E4" w:rsidRDefault="00AB45E4"/>
    <w:p w14:paraId="196C8EB2" w14:textId="77777777" w:rsidR="00AB45E4" w:rsidRDefault="00AB45E4"/>
    <w:p w14:paraId="74AAFA08" w14:textId="77777777" w:rsidR="00AB45E4" w:rsidRDefault="00AB45E4"/>
    <w:p w14:paraId="5E470E06" w14:textId="77777777" w:rsidR="00AB45E4" w:rsidRDefault="00AB45E4"/>
    <w:p w14:paraId="66F1E59A" w14:textId="77777777" w:rsidR="00AB45E4" w:rsidRDefault="00AB45E4"/>
    <w:p w14:paraId="69023496" w14:textId="77777777" w:rsidR="00AB45E4" w:rsidRDefault="00AB45E4"/>
    <w:p w14:paraId="14A8510F" w14:textId="77777777" w:rsidR="00AB45E4" w:rsidRDefault="00AB45E4"/>
    <w:p w14:paraId="183A7BE0" w14:textId="77777777" w:rsidR="00AB45E4" w:rsidRDefault="00AB45E4">
      <w:pPr>
        <w:pStyle w:val="6Abstract"/>
        <w:rPr>
          <w:lang w:val="en-GB"/>
        </w:rPr>
      </w:pPr>
    </w:p>
    <w:p w14:paraId="16AF0889" w14:textId="77777777" w:rsidR="00AB45E4" w:rsidRDefault="00AB45E4">
      <w:pPr>
        <w:pStyle w:val="6Abstract"/>
        <w:rPr>
          <w:lang w:val="en-GB"/>
        </w:rPr>
      </w:pPr>
    </w:p>
    <w:p w14:paraId="53E7202C" w14:textId="77777777" w:rsidR="00AB45E4" w:rsidRDefault="00AB45E4">
      <w:pPr>
        <w:pStyle w:val="6Abstract"/>
      </w:pPr>
    </w:p>
    <w:p w14:paraId="64CA1EDC" w14:textId="77777777" w:rsidR="00AB45E4" w:rsidRDefault="00CE07FE">
      <w:pPr>
        <w:pStyle w:val="Heading1"/>
      </w:pPr>
      <w:bookmarkStart w:id="1" w:name="_Toc176420534"/>
      <w:r>
        <w:t>1. Aims</w:t>
      </w:r>
      <w:bookmarkEnd w:id="0"/>
      <w:bookmarkEnd w:id="1"/>
    </w:p>
    <w:p w14:paraId="390EC6D2" w14:textId="77777777" w:rsidR="00AB45E4" w:rsidRDefault="00CE07FE">
      <w:pPr>
        <w:pStyle w:val="1bodycopy10pt"/>
      </w:pPr>
      <w:r>
        <w:t xml:space="preserve">The aim of our capability of staff policy is to set out a clear and </w:t>
      </w:r>
      <w:r>
        <w:t xml:space="preserve">consistent process for when a member of staff falls below the levels of competence expected of them, as set out in the relevant professional standards, job descriptions and overall performance expectations. </w:t>
      </w:r>
      <w:bookmarkStart w:id="2" w:name="_Toc492898574"/>
    </w:p>
    <w:p w14:paraId="06EE4B85" w14:textId="77777777" w:rsidR="00AB45E4" w:rsidRDefault="00CE07FE">
      <w:pPr>
        <w:pStyle w:val="Heading1"/>
      </w:pPr>
      <w:bookmarkStart w:id="3" w:name="_Toc176420535"/>
      <w:r>
        <w:lastRenderedPageBreak/>
        <w:t>2. Legislation and guidance</w:t>
      </w:r>
      <w:bookmarkEnd w:id="2"/>
      <w:bookmarkEnd w:id="3"/>
    </w:p>
    <w:p w14:paraId="7ED3F000" w14:textId="77777777" w:rsidR="00AB45E4" w:rsidRDefault="00CE07FE">
      <w:pPr>
        <w:pStyle w:val="1bodycopy10pt"/>
      </w:pPr>
      <w:r>
        <w:rPr>
          <w:rFonts w:cs="Arial"/>
          <w:szCs w:val="20"/>
        </w:rPr>
        <w:t xml:space="preserve">This policy is based on the </w:t>
      </w:r>
      <w:hyperlink r:id="rId19" w:history="1">
        <w:r>
          <w:rPr>
            <w:rStyle w:val="Hyperlink"/>
            <w:szCs w:val="20"/>
          </w:rPr>
          <w:t>Department for Education’s model p</w:t>
        </w:r>
        <w:bookmarkStart w:id="4" w:name="_Hlt176420556"/>
        <w:bookmarkStart w:id="5" w:name="_Hlt176420557"/>
        <w:bookmarkEnd w:id="4"/>
        <w:bookmarkEnd w:id="5"/>
        <w:r>
          <w:rPr>
            <w:rStyle w:val="Hyperlink"/>
            <w:szCs w:val="20"/>
          </w:rPr>
          <w:t>olicy and guidance,</w:t>
        </w:r>
      </w:hyperlink>
      <w:r>
        <w:rPr>
          <w:rFonts w:cs="Arial"/>
          <w:szCs w:val="20"/>
        </w:rPr>
        <w:t xml:space="preserve"> and the </w:t>
      </w:r>
      <w:hyperlink r:id="rId20" w:history="1">
        <w:r>
          <w:rPr>
            <w:rStyle w:val="Hyperlink"/>
            <w:szCs w:val="20"/>
          </w:rPr>
          <w:t xml:space="preserve">Acas code </w:t>
        </w:r>
        <w:bookmarkStart w:id="6" w:name="_Hlt176420685"/>
        <w:bookmarkStart w:id="7" w:name="_Hlt176420686"/>
        <w:bookmarkEnd w:id="6"/>
        <w:bookmarkEnd w:id="7"/>
        <w:r>
          <w:rPr>
            <w:rStyle w:val="Hyperlink"/>
            <w:szCs w:val="20"/>
          </w:rPr>
          <w:t>of practice on disciplinary and grievance procedures</w:t>
        </w:r>
      </w:hyperlink>
      <w:r>
        <w:rPr>
          <w:rFonts w:cs="Arial"/>
          <w:szCs w:val="20"/>
        </w:rPr>
        <w:t xml:space="preserve">. </w:t>
      </w:r>
    </w:p>
    <w:p w14:paraId="23AB232B" w14:textId="77777777" w:rsidR="00AB45E4" w:rsidRDefault="00CE07FE">
      <w:pPr>
        <w:pStyle w:val="1bodycopy10pt"/>
      </w:pPr>
      <w:r>
        <w:rPr>
          <w:rFonts w:cs="Arial"/>
        </w:rPr>
        <w:t xml:space="preserve">When carrying out capability procedures, we will ensure we abide by the </w:t>
      </w:r>
      <w:hyperlink r:id="rId21" w:history="1">
        <w:r>
          <w:rPr>
            <w:rStyle w:val="Hyperlink"/>
            <w:szCs w:val="20"/>
          </w:rPr>
          <w:t xml:space="preserve">Equality </w:t>
        </w:r>
        <w:bookmarkStart w:id="8" w:name="_Hlt176420696"/>
        <w:bookmarkStart w:id="9" w:name="_Hlt176420697"/>
        <w:bookmarkEnd w:id="8"/>
        <w:bookmarkEnd w:id="9"/>
        <w:r>
          <w:rPr>
            <w:rStyle w:val="Hyperlink"/>
            <w:szCs w:val="20"/>
          </w:rPr>
          <w:t>Act 2010</w:t>
        </w:r>
      </w:hyperlink>
      <w:r>
        <w:rPr>
          <w:rFonts w:cs="Arial"/>
        </w:rPr>
        <w:t xml:space="preserve">. </w:t>
      </w:r>
    </w:p>
    <w:p w14:paraId="7770E323" w14:textId="77777777" w:rsidR="00AB45E4" w:rsidRDefault="00CE07FE">
      <w:pPr>
        <w:pStyle w:val="1bodycopy10pt"/>
      </w:pPr>
      <w:r>
        <w:t>This policy also complies with our funding agreement and articles of association.</w:t>
      </w:r>
      <w:bookmarkStart w:id="10" w:name="_Toc492898575"/>
    </w:p>
    <w:p w14:paraId="40C6B099" w14:textId="77777777" w:rsidR="00AB45E4" w:rsidRDefault="00CE07FE">
      <w:pPr>
        <w:pStyle w:val="Heading1"/>
      </w:pPr>
      <w:bookmarkStart w:id="11" w:name="_Toc176420536"/>
      <w:r>
        <w:t>3. Definitions</w:t>
      </w:r>
      <w:bookmarkEnd w:id="10"/>
      <w:bookmarkEnd w:id="11"/>
    </w:p>
    <w:p w14:paraId="2171B33A" w14:textId="77777777" w:rsidR="00AB45E4" w:rsidRDefault="00CE07FE">
      <w:pPr>
        <w:pStyle w:val="1bodycopy10pt"/>
      </w:pPr>
      <w:r>
        <w:t>Lack of capability is defined as:</w:t>
      </w:r>
    </w:p>
    <w:p w14:paraId="21F58327" w14:textId="77777777" w:rsidR="00AB45E4" w:rsidRDefault="00CE07FE">
      <w:pPr>
        <w:pStyle w:val="4Bulletedcopyblue"/>
      </w:pPr>
      <w:r>
        <w:t>A staff member failing to perform their role at the level of competence expected of them and that their job requires</w:t>
      </w:r>
    </w:p>
    <w:p w14:paraId="62B522CB" w14:textId="77777777" w:rsidR="00AB45E4" w:rsidRDefault="00CE07FE">
      <w:pPr>
        <w:pStyle w:val="1bodycopy10pt"/>
      </w:pPr>
      <w:r>
        <w:t xml:space="preserve">References to </w:t>
      </w:r>
      <w:r>
        <w:rPr>
          <w:b/>
        </w:rPr>
        <w:t>‘staff’</w:t>
      </w:r>
      <w:r>
        <w:t xml:space="preserve"> include the headteacher, teachers and support staff, unless indicated otherwise. </w:t>
      </w:r>
      <w:bookmarkStart w:id="12" w:name="_Toc492898576"/>
    </w:p>
    <w:p w14:paraId="5A04A55A" w14:textId="77777777" w:rsidR="00AB45E4" w:rsidRDefault="00CE07FE">
      <w:pPr>
        <w:pStyle w:val="Heading1"/>
      </w:pPr>
      <w:bookmarkStart w:id="13" w:name="_Toc176420537"/>
      <w:r>
        <w:t>4. Roles and responsibilities</w:t>
      </w:r>
      <w:bookmarkEnd w:id="12"/>
      <w:bookmarkEnd w:id="13"/>
      <w:r>
        <w:t xml:space="preserve"> </w:t>
      </w:r>
    </w:p>
    <w:p w14:paraId="7F486534" w14:textId="77777777" w:rsidR="00AB45E4" w:rsidRDefault="00CE07FE">
      <w:pPr>
        <w:pStyle w:val="1bodycopy10pt"/>
      </w:pPr>
      <w:r>
        <w:t xml:space="preserve">Where the member of staff subject to the procedure is the headteacher, the chair of governors will be responsible for co-ordinating the procedure. </w:t>
      </w:r>
    </w:p>
    <w:p w14:paraId="175F713B" w14:textId="77777777" w:rsidR="00AB45E4" w:rsidRDefault="00CE07FE">
      <w:pPr>
        <w:pStyle w:val="1bodycopy10pt"/>
      </w:pPr>
      <w:r>
        <w:t>Where the member of staff subject to the procedure is not the headteacher, the headteacher will be responsible for co-ordinating the procedure.</w:t>
      </w:r>
    </w:p>
    <w:p w14:paraId="4387A94B" w14:textId="77777777" w:rsidR="00AB45E4" w:rsidRDefault="00CE07FE">
      <w:pPr>
        <w:pStyle w:val="1bodycopy10pt"/>
      </w:pPr>
      <w:r>
        <w:t xml:space="preserve">Where appropriate, other members of staff may be asked to provide additional support to the teacher or to assist in monitoring the effectiveness of the policy. Where this happens, responsibilities will be made clear in advance. </w:t>
      </w:r>
      <w:bookmarkStart w:id="14" w:name="_Toc492898577"/>
    </w:p>
    <w:p w14:paraId="46767950" w14:textId="77777777" w:rsidR="00AB45E4" w:rsidRDefault="00CE07FE">
      <w:pPr>
        <w:pStyle w:val="Heading1"/>
      </w:pPr>
      <w:bookmarkStart w:id="15" w:name="_Toc176420538"/>
      <w:r>
        <w:t>5. Capability procedure</w:t>
      </w:r>
      <w:bookmarkEnd w:id="14"/>
      <w:bookmarkEnd w:id="15"/>
      <w:r>
        <w:t xml:space="preserve"> </w:t>
      </w:r>
    </w:p>
    <w:p w14:paraId="4A18CE73" w14:textId="77777777" w:rsidR="00AB45E4" w:rsidRDefault="00CE07FE">
      <w:pPr>
        <w:pStyle w:val="1bodycopy10pt"/>
      </w:pPr>
      <w:r>
        <w:rPr>
          <w:rFonts w:cs="Arial"/>
          <w:szCs w:val="20"/>
        </w:rPr>
        <w:t xml:space="preserve">Performance is monitored on a day-to-day basis by line managers. </w:t>
      </w:r>
    </w:p>
    <w:p w14:paraId="34B4EA32" w14:textId="77777777" w:rsidR="00AB45E4" w:rsidRDefault="00CE07FE">
      <w:pPr>
        <w:pStyle w:val="1bodycopy10pt"/>
      </w:pPr>
      <w:r>
        <w:t xml:space="preserve">Formal capability procedures will begin when line management support and the appraisal process have been unable to bring about satisfactory performance or improvements in the staff member’s work. </w:t>
      </w:r>
    </w:p>
    <w:p w14:paraId="1B894088" w14:textId="77777777" w:rsidR="00AB45E4" w:rsidRDefault="00CE07FE">
      <w:pPr>
        <w:pStyle w:val="1bodycopy10pt"/>
      </w:pPr>
      <w:r>
        <w:t xml:space="preserve">An informal period of support, put in place and monitored by the line manager, will have been in place before formal capability procedures are triggered. Evidence of this will be available before the process begins. </w:t>
      </w:r>
    </w:p>
    <w:p w14:paraId="7B7D5601" w14:textId="77777777" w:rsidR="00AB45E4" w:rsidRDefault="00CE07FE">
      <w:pPr>
        <w:pStyle w:val="1bodycopy10pt"/>
      </w:pPr>
      <w:r>
        <w:t>Where an early career teacher (ECT) is subject to capability procedures, we will continue the induction process in parallel with the capability procedure and inform the appropriate body.</w:t>
      </w:r>
    </w:p>
    <w:p w14:paraId="125951D6" w14:textId="77777777" w:rsidR="00AB45E4" w:rsidRDefault="00CE07FE">
      <w:pPr>
        <w:spacing w:before="240"/>
      </w:pPr>
      <w:r>
        <w:rPr>
          <w:b/>
          <w:color w:val="12263F"/>
          <w:sz w:val="24"/>
        </w:rPr>
        <w:t xml:space="preserve">5.1 Stage 1- Formal capability meeting </w:t>
      </w:r>
    </w:p>
    <w:p w14:paraId="07A540C2" w14:textId="77777777" w:rsidR="00AB45E4" w:rsidRDefault="00CE07FE">
      <w:r>
        <w:t xml:space="preserve">Notification of a formal capability meeting should not come as a surprise to the staff member concerned, as they will already have been receiving informal support to improve their performance. </w:t>
      </w:r>
    </w:p>
    <w:p w14:paraId="69B206ED" w14:textId="77777777" w:rsidR="00AB45E4" w:rsidRDefault="00CE07FE">
      <w:r>
        <w:t xml:space="preserve">The </w:t>
      </w:r>
      <w:r>
        <w:t xml:space="preserve">staff member will receive at least 5 working days’ notice of the formal capability meeting. The notification will contain: </w:t>
      </w:r>
    </w:p>
    <w:p w14:paraId="6DC091A1" w14:textId="77777777" w:rsidR="00AB45E4" w:rsidRDefault="00CE07FE">
      <w:pPr>
        <w:numPr>
          <w:ilvl w:val="0"/>
          <w:numId w:val="1"/>
        </w:numPr>
        <w:ind w:left="340"/>
      </w:pPr>
      <w:r>
        <w:rPr>
          <w:rFonts w:cs="Arial"/>
          <w:szCs w:val="20"/>
        </w:rPr>
        <w:t xml:space="preserve">The concerns about performance and possible consequences </w:t>
      </w:r>
    </w:p>
    <w:p w14:paraId="0F9FBE09" w14:textId="77777777" w:rsidR="00AB45E4" w:rsidRDefault="00CE07FE">
      <w:pPr>
        <w:numPr>
          <w:ilvl w:val="0"/>
          <w:numId w:val="1"/>
        </w:numPr>
        <w:ind w:left="340"/>
        <w:rPr>
          <w:rFonts w:cs="Arial"/>
          <w:szCs w:val="20"/>
        </w:rPr>
      </w:pPr>
      <w:r>
        <w:rPr>
          <w:rFonts w:cs="Arial"/>
          <w:szCs w:val="20"/>
        </w:rPr>
        <w:t>Any written evidence</w:t>
      </w:r>
    </w:p>
    <w:p w14:paraId="7E4A0C26" w14:textId="77777777" w:rsidR="00AB45E4" w:rsidRDefault="00CE07FE">
      <w:pPr>
        <w:numPr>
          <w:ilvl w:val="0"/>
          <w:numId w:val="1"/>
        </w:numPr>
        <w:ind w:left="340"/>
        <w:rPr>
          <w:rFonts w:cs="Arial"/>
          <w:szCs w:val="20"/>
        </w:rPr>
      </w:pPr>
      <w:r>
        <w:rPr>
          <w:rFonts w:cs="Arial"/>
          <w:szCs w:val="20"/>
        </w:rPr>
        <w:t xml:space="preserve">The time and place of the meeting </w:t>
      </w:r>
    </w:p>
    <w:p w14:paraId="79C10670" w14:textId="77777777" w:rsidR="00AB45E4" w:rsidRDefault="00CE07FE">
      <w:pPr>
        <w:numPr>
          <w:ilvl w:val="0"/>
          <w:numId w:val="1"/>
        </w:numPr>
        <w:ind w:left="340"/>
        <w:rPr>
          <w:rFonts w:cs="Arial"/>
          <w:szCs w:val="20"/>
        </w:rPr>
      </w:pPr>
      <w:r>
        <w:rPr>
          <w:rFonts w:cs="Arial"/>
          <w:szCs w:val="20"/>
        </w:rPr>
        <w:t xml:space="preserve">That the staff member has the right to be accompanied by a work colleague or trade union representative </w:t>
      </w:r>
    </w:p>
    <w:p w14:paraId="7D20E19B" w14:textId="77777777" w:rsidR="00AB45E4" w:rsidRDefault="00CE07FE">
      <w:r>
        <w:lastRenderedPageBreak/>
        <w:t>The staff member is entitled to reasonably request an alternative date if they are not able to attend the original date proposed.</w:t>
      </w:r>
    </w:p>
    <w:p w14:paraId="717BFF4D" w14:textId="77777777" w:rsidR="00AB45E4" w:rsidRDefault="00CE07FE">
      <w:r>
        <w:rPr>
          <w:rFonts w:cs="Arial"/>
          <w:szCs w:val="20"/>
        </w:rPr>
        <w:t xml:space="preserve">The formal capability meeting will be conducted by </w:t>
      </w:r>
      <w:r>
        <w:t xml:space="preserve">the chair of governors for headteachers, and the head teacher for other teachers. </w:t>
      </w:r>
    </w:p>
    <w:p w14:paraId="3CFE20E3" w14:textId="77777777" w:rsidR="00AB45E4" w:rsidRDefault="00CE07FE">
      <w:r>
        <w:t xml:space="preserve">The purpose of the meeting is to establish the facts, and to allow the staff members to respond to the concerns and make relevant representations. </w:t>
      </w:r>
    </w:p>
    <w:p w14:paraId="7C407E4D" w14:textId="77777777" w:rsidR="00AB45E4" w:rsidRDefault="00CE07FE">
      <w:pPr>
        <w:spacing w:before="240"/>
        <w:rPr>
          <w:b/>
          <w:color w:val="12263F"/>
          <w:sz w:val="24"/>
        </w:rPr>
      </w:pPr>
      <w:r>
        <w:rPr>
          <w:b/>
          <w:color w:val="12263F"/>
          <w:sz w:val="24"/>
        </w:rPr>
        <w:t>5.1.1 Possible outcomes</w:t>
      </w:r>
    </w:p>
    <w:p w14:paraId="513A4802" w14:textId="77777777" w:rsidR="00AB45E4" w:rsidRDefault="00CE07FE">
      <w:r>
        <w:t>The meeting may establish that there are no grounds to pursue the capability issue. In this case, the procedure will come to an end and the issues will continue to be addressed through the appraisal process.</w:t>
      </w:r>
    </w:p>
    <w:p w14:paraId="43E94E44" w14:textId="77777777" w:rsidR="00AB45E4" w:rsidRDefault="00CE07FE">
      <w:r>
        <w:t xml:space="preserve">The meeting may be adjourned if </w:t>
      </w:r>
      <w:r>
        <w:t xml:space="preserve">further investigation is needed, or if more time is needed to consider additional information presented. </w:t>
      </w:r>
    </w:p>
    <w:p w14:paraId="686C62DD" w14:textId="77777777" w:rsidR="00AB45E4" w:rsidRDefault="00CE07FE">
      <w:r>
        <w:t xml:space="preserve">If the meeting continues, the person conducting the meeting will: </w:t>
      </w:r>
    </w:p>
    <w:p w14:paraId="2119A229" w14:textId="77777777" w:rsidR="00AB45E4" w:rsidRDefault="00CE07FE">
      <w:pPr>
        <w:numPr>
          <w:ilvl w:val="0"/>
          <w:numId w:val="1"/>
        </w:numPr>
        <w:ind w:left="340"/>
      </w:pPr>
      <w:r>
        <w:rPr>
          <w:rFonts w:cs="Arial"/>
          <w:szCs w:val="20"/>
        </w:rPr>
        <w:t>Explain the expected standards that are not being met based on the Teachers’ Standards or other relevant standards, career stage expectations and/or job description</w:t>
      </w:r>
      <w:r>
        <w:rPr>
          <w:rFonts w:cs="Arial"/>
          <w:color w:val="ED7D31"/>
          <w:szCs w:val="20"/>
        </w:rPr>
        <w:t xml:space="preserve"> </w:t>
      </w:r>
    </w:p>
    <w:p w14:paraId="6F6ECB9E" w14:textId="77777777" w:rsidR="00AB45E4" w:rsidRDefault="00CE07FE">
      <w:pPr>
        <w:numPr>
          <w:ilvl w:val="0"/>
          <w:numId w:val="1"/>
        </w:numPr>
        <w:ind w:left="340"/>
        <w:rPr>
          <w:rFonts w:cs="Arial"/>
          <w:szCs w:val="20"/>
        </w:rPr>
      </w:pPr>
      <w:r>
        <w:rPr>
          <w:rFonts w:cs="Arial"/>
          <w:szCs w:val="20"/>
        </w:rPr>
        <w:t xml:space="preserve">Give clear guidance on the standard of performance needed to end the procedures </w:t>
      </w:r>
    </w:p>
    <w:p w14:paraId="08866C9B" w14:textId="77777777" w:rsidR="00AB45E4" w:rsidRDefault="00CE07FE">
      <w:pPr>
        <w:numPr>
          <w:ilvl w:val="0"/>
          <w:numId w:val="1"/>
        </w:numPr>
        <w:ind w:left="340"/>
        <w:rPr>
          <w:rFonts w:cs="Arial"/>
          <w:szCs w:val="20"/>
        </w:rPr>
      </w:pPr>
      <w:r>
        <w:rPr>
          <w:rFonts w:cs="Arial"/>
          <w:szCs w:val="20"/>
        </w:rPr>
        <w:t xml:space="preserve">Explain the support available to help the staff member improve their performance </w:t>
      </w:r>
    </w:p>
    <w:p w14:paraId="280121B2" w14:textId="77777777" w:rsidR="00AB45E4" w:rsidRDefault="00CE07FE">
      <w:pPr>
        <w:numPr>
          <w:ilvl w:val="0"/>
          <w:numId w:val="1"/>
        </w:numPr>
        <w:ind w:left="340"/>
        <w:rPr>
          <w:rFonts w:cs="Arial"/>
          <w:szCs w:val="20"/>
        </w:rPr>
      </w:pPr>
      <w:r>
        <w:rPr>
          <w:rFonts w:cs="Arial"/>
          <w:szCs w:val="20"/>
        </w:rPr>
        <w:t>Set out the timetable for improvement and explain how performance will be monitored and reviewed</w:t>
      </w:r>
    </w:p>
    <w:p w14:paraId="4E7663A8" w14:textId="77777777" w:rsidR="00AB45E4" w:rsidRDefault="00CE07FE">
      <w:pPr>
        <w:numPr>
          <w:ilvl w:val="0"/>
          <w:numId w:val="1"/>
        </w:numPr>
        <w:ind w:left="340"/>
        <w:rPr>
          <w:rFonts w:cs="Arial"/>
          <w:szCs w:val="20"/>
        </w:rPr>
      </w:pPr>
      <w:r>
        <w:rPr>
          <w:rFonts w:cs="Arial"/>
          <w:szCs w:val="20"/>
        </w:rPr>
        <w:t xml:space="preserve">Warn the teacher formally that failure to improve within the set period could ultimately lead to dismissal  </w:t>
      </w:r>
    </w:p>
    <w:p w14:paraId="2EDA1480" w14:textId="77777777" w:rsidR="00AB45E4" w:rsidRDefault="00CE07FE">
      <w:pPr>
        <w:spacing w:before="240"/>
        <w:rPr>
          <w:b/>
          <w:color w:val="12263F"/>
          <w:sz w:val="24"/>
        </w:rPr>
      </w:pPr>
      <w:r>
        <w:rPr>
          <w:b/>
          <w:color w:val="12263F"/>
          <w:sz w:val="24"/>
        </w:rPr>
        <w:t xml:space="preserve">5.1.2 After the meeting </w:t>
      </w:r>
    </w:p>
    <w:p w14:paraId="7F513EA0" w14:textId="77777777" w:rsidR="00AB45E4" w:rsidRDefault="00CE07FE">
      <w:r>
        <w:t xml:space="preserve">The staff member will be sent formal meeting notes. If a formal warning has been issued, the staff member will also receive: </w:t>
      </w:r>
    </w:p>
    <w:p w14:paraId="6ADC6EF1" w14:textId="77777777" w:rsidR="00AB45E4" w:rsidRDefault="00CE07FE">
      <w:pPr>
        <w:numPr>
          <w:ilvl w:val="0"/>
          <w:numId w:val="1"/>
        </w:numPr>
        <w:ind w:left="340"/>
      </w:pPr>
      <w:r>
        <w:rPr>
          <w:rFonts w:cs="Arial"/>
          <w:szCs w:val="20"/>
        </w:rPr>
        <w:t>A written record of the bullet points above</w:t>
      </w:r>
    </w:p>
    <w:p w14:paraId="25990645" w14:textId="77777777" w:rsidR="00AB45E4" w:rsidRDefault="00CE07FE">
      <w:pPr>
        <w:numPr>
          <w:ilvl w:val="0"/>
          <w:numId w:val="1"/>
        </w:numPr>
        <w:ind w:left="340"/>
        <w:rPr>
          <w:rFonts w:cs="Arial"/>
          <w:szCs w:val="20"/>
        </w:rPr>
      </w:pPr>
      <w:r>
        <w:rPr>
          <w:rFonts w:cs="Arial"/>
          <w:szCs w:val="20"/>
        </w:rPr>
        <w:t>Information about the timing and handling of the review stage</w:t>
      </w:r>
    </w:p>
    <w:p w14:paraId="7A923C23" w14:textId="77777777" w:rsidR="00AB45E4" w:rsidRDefault="00CE07FE">
      <w:pPr>
        <w:numPr>
          <w:ilvl w:val="0"/>
          <w:numId w:val="1"/>
        </w:numPr>
        <w:ind w:left="340"/>
        <w:rPr>
          <w:rFonts w:cs="Arial"/>
          <w:szCs w:val="20"/>
        </w:rPr>
      </w:pPr>
      <w:r>
        <w:rPr>
          <w:rFonts w:cs="Arial"/>
          <w:szCs w:val="20"/>
        </w:rPr>
        <w:t xml:space="preserve">Information about the procedure and time limits for appealing against the warning </w:t>
      </w:r>
    </w:p>
    <w:p w14:paraId="5719F7F6" w14:textId="77777777" w:rsidR="00AB45E4" w:rsidRDefault="00CE07FE">
      <w:pPr>
        <w:spacing w:before="240"/>
        <w:rPr>
          <w:b/>
          <w:color w:val="12263F"/>
          <w:sz w:val="24"/>
        </w:rPr>
      </w:pPr>
      <w:r>
        <w:rPr>
          <w:b/>
          <w:color w:val="12263F"/>
          <w:sz w:val="24"/>
        </w:rPr>
        <w:t>5.2 Stage 2- Monitoring and review period</w:t>
      </w:r>
    </w:p>
    <w:p w14:paraId="1A4A6BEA" w14:textId="77777777" w:rsidR="00AB45E4" w:rsidRDefault="00CE07FE">
      <w:r>
        <w:t xml:space="preserve">A performance monitoring and review period consisting of formal monitoring guidance and support will follow the formal capability meeting. </w:t>
      </w:r>
    </w:p>
    <w:p w14:paraId="341AB7CA" w14:textId="77777777" w:rsidR="00AB45E4" w:rsidRDefault="00CE07FE">
      <w:r>
        <w:t>The member of staff will be invited to a formal review meeting, unless they were issued with a final written warning, in which case they will be invited to a decision meeting (see 5.4 below).</w:t>
      </w:r>
    </w:p>
    <w:p w14:paraId="00099AAD" w14:textId="77777777" w:rsidR="00AB45E4" w:rsidRDefault="00CE07FE">
      <w:pPr>
        <w:spacing w:before="240"/>
        <w:rPr>
          <w:b/>
          <w:color w:val="12263F"/>
          <w:sz w:val="24"/>
        </w:rPr>
      </w:pPr>
      <w:r>
        <w:rPr>
          <w:b/>
          <w:color w:val="12263F"/>
          <w:sz w:val="24"/>
        </w:rPr>
        <w:t xml:space="preserve">5.3 Formal review meeting </w:t>
      </w:r>
    </w:p>
    <w:p w14:paraId="0B7F8D9B" w14:textId="77777777" w:rsidR="00AB45E4" w:rsidRDefault="00CE07FE">
      <w:r>
        <w:t xml:space="preserve">At least 10 working days’ notice will be given of the formal review meeting, and will explain: </w:t>
      </w:r>
    </w:p>
    <w:p w14:paraId="376833F9" w14:textId="77777777" w:rsidR="00AB45E4" w:rsidRDefault="00CE07FE">
      <w:pPr>
        <w:numPr>
          <w:ilvl w:val="0"/>
          <w:numId w:val="1"/>
        </w:numPr>
        <w:ind w:left="340"/>
      </w:pPr>
      <w:r>
        <w:rPr>
          <w:rFonts w:cs="Arial"/>
          <w:szCs w:val="20"/>
        </w:rPr>
        <w:t xml:space="preserve">The time and place of the meeting </w:t>
      </w:r>
    </w:p>
    <w:p w14:paraId="339EB596" w14:textId="77777777" w:rsidR="00AB45E4" w:rsidRDefault="00CE07FE">
      <w:pPr>
        <w:numPr>
          <w:ilvl w:val="0"/>
          <w:numId w:val="1"/>
        </w:numPr>
        <w:ind w:left="340"/>
        <w:rPr>
          <w:rFonts w:cs="Arial"/>
          <w:szCs w:val="20"/>
        </w:rPr>
      </w:pPr>
      <w:r>
        <w:rPr>
          <w:rFonts w:cs="Arial"/>
          <w:szCs w:val="20"/>
        </w:rPr>
        <w:t xml:space="preserve">That the staff member has the right to be accompanied by a work colleague or trade union representative </w:t>
      </w:r>
    </w:p>
    <w:p w14:paraId="6AA912DB" w14:textId="77777777" w:rsidR="00AB45E4" w:rsidRDefault="00CE07FE">
      <w:r>
        <w:t xml:space="preserve">The staff member is entitled to reasonably request an alternative date if they are not able to attend </w:t>
      </w:r>
      <w:r>
        <w:t>the original date proposed.</w:t>
      </w:r>
    </w:p>
    <w:p w14:paraId="734553D1" w14:textId="77777777" w:rsidR="00AB45E4" w:rsidRDefault="00CE07FE">
      <w:r>
        <w:t>If the person conducting the meeting is satisfied that the staff member has made sufficient improvement, the capability procedure will cease and the appraisal process will restart.</w:t>
      </w:r>
    </w:p>
    <w:p w14:paraId="45AD6738" w14:textId="77777777" w:rsidR="00AB45E4" w:rsidRDefault="00CE07FE">
      <w:r>
        <w:t>In other cases:</w:t>
      </w:r>
    </w:p>
    <w:p w14:paraId="285DB792" w14:textId="77777777" w:rsidR="00AB45E4" w:rsidRDefault="00CE07FE">
      <w:pPr>
        <w:numPr>
          <w:ilvl w:val="0"/>
          <w:numId w:val="1"/>
        </w:numPr>
        <w:ind w:left="340"/>
        <w:rPr>
          <w:rFonts w:cs="Arial"/>
          <w:szCs w:val="20"/>
        </w:rPr>
      </w:pPr>
      <w:r>
        <w:rPr>
          <w:rFonts w:cs="Arial"/>
          <w:szCs w:val="20"/>
        </w:rPr>
        <w:lastRenderedPageBreak/>
        <w:t>If some progress has been made and there is confidence that more is likely, it may be appropriate to extend the monitoring and review period</w:t>
      </w:r>
    </w:p>
    <w:p w14:paraId="2E5828EB" w14:textId="77777777" w:rsidR="00AB45E4" w:rsidRDefault="00CE07FE">
      <w:pPr>
        <w:numPr>
          <w:ilvl w:val="0"/>
          <w:numId w:val="1"/>
        </w:numPr>
        <w:ind w:left="340"/>
        <w:rPr>
          <w:rFonts w:cs="Arial"/>
          <w:szCs w:val="20"/>
        </w:rPr>
      </w:pPr>
      <w:r>
        <w:rPr>
          <w:rFonts w:cs="Arial"/>
          <w:szCs w:val="20"/>
        </w:rPr>
        <w:t>If no or insufficient improvement has been made during the monitoring and review period, the staff member will receive a final written warning</w:t>
      </w:r>
    </w:p>
    <w:p w14:paraId="072680CA" w14:textId="77777777" w:rsidR="00AB45E4" w:rsidRDefault="00CE07FE">
      <w:r>
        <w:t>Notes will be taken of formal meetings and a copy sent to the member of staff.</w:t>
      </w:r>
    </w:p>
    <w:p w14:paraId="6B276872" w14:textId="77777777" w:rsidR="00AB45E4" w:rsidRDefault="00CE07FE">
      <w:r>
        <w:t>The final written warning will mirror any previous warnings that have been issued. Where a final warning is issued, the member of staff will be informed in writing that failure to achieve an acceptable standard of performance within the set timescale may result in dismissal. They will be given information about the further monitoring and review period, the procedure and time limits for appealing against the final warning. The staff member will be invited to a decision meeting.</w:t>
      </w:r>
    </w:p>
    <w:p w14:paraId="61DEDDEA" w14:textId="77777777" w:rsidR="00AB45E4" w:rsidRDefault="00CE07FE">
      <w:pPr>
        <w:spacing w:before="240"/>
        <w:rPr>
          <w:b/>
          <w:color w:val="12263F"/>
          <w:sz w:val="24"/>
        </w:rPr>
      </w:pPr>
      <w:r>
        <w:rPr>
          <w:b/>
          <w:color w:val="12263F"/>
          <w:sz w:val="24"/>
        </w:rPr>
        <w:t xml:space="preserve">5.4 Stage 3- Decision meeting </w:t>
      </w:r>
    </w:p>
    <w:p w14:paraId="3DF447A1" w14:textId="77777777" w:rsidR="00AB45E4" w:rsidRDefault="00CE07FE">
      <w:pPr>
        <w:spacing w:after="0"/>
      </w:pPr>
      <w:r>
        <w:rPr>
          <w:rFonts w:cs="Arial"/>
          <w:szCs w:val="20"/>
        </w:rPr>
        <w:t xml:space="preserve">At least </w:t>
      </w:r>
      <w:r>
        <w:t xml:space="preserve">5 </w:t>
      </w:r>
      <w:r>
        <w:rPr>
          <w:rFonts w:cs="Arial"/>
          <w:szCs w:val="20"/>
        </w:rPr>
        <w:t xml:space="preserve">working days’ notice will be given of the decision meeting, and will explain: </w:t>
      </w:r>
    </w:p>
    <w:p w14:paraId="5F6CBB5C" w14:textId="77777777" w:rsidR="00AB45E4" w:rsidRDefault="00CE07FE">
      <w:pPr>
        <w:numPr>
          <w:ilvl w:val="0"/>
          <w:numId w:val="1"/>
        </w:numPr>
        <w:ind w:left="340"/>
      </w:pPr>
      <w:r>
        <w:rPr>
          <w:rFonts w:cs="Arial"/>
          <w:szCs w:val="20"/>
        </w:rPr>
        <w:t xml:space="preserve">The time and place of the meeting </w:t>
      </w:r>
    </w:p>
    <w:p w14:paraId="695CAA63" w14:textId="77777777" w:rsidR="00AB45E4" w:rsidRDefault="00CE07FE">
      <w:pPr>
        <w:numPr>
          <w:ilvl w:val="0"/>
          <w:numId w:val="1"/>
        </w:numPr>
        <w:ind w:left="340"/>
        <w:rPr>
          <w:rFonts w:cs="Arial"/>
          <w:szCs w:val="20"/>
        </w:rPr>
      </w:pPr>
      <w:r>
        <w:rPr>
          <w:rFonts w:cs="Arial"/>
          <w:szCs w:val="20"/>
        </w:rPr>
        <w:t xml:space="preserve">That the staff member has the right to be accompanied by a work colleague or trade union representative </w:t>
      </w:r>
    </w:p>
    <w:p w14:paraId="23017C5F" w14:textId="77777777" w:rsidR="00AB45E4" w:rsidRDefault="00CE07FE">
      <w:r>
        <w:t xml:space="preserve">If an acceptable standard of performance has now been achieved, the capability procedure will end and the appraisal process will restart. </w:t>
      </w:r>
    </w:p>
    <w:p w14:paraId="0B0D0B47" w14:textId="77777777" w:rsidR="00AB45E4" w:rsidRDefault="00CE07FE">
      <w:r>
        <w:t xml:space="preserve">If the staff member’s performance does not improve to a sufficient standard, a decision, or recommendation to the governing board, may be made that the staff member should be dismissed or required to cease working at the school. </w:t>
      </w:r>
    </w:p>
    <w:p w14:paraId="0E765034" w14:textId="77777777" w:rsidR="00AB45E4" w:rsidRDefault="00CE07FE">
      <w:r>
        <w:t>The staff member will be informed as soon as possible of:</w:t>
      </w:r>
    </w:p>
    <w:p w14:paraId="6BEF9136" w14:textId="77777777" w:rsidR="00AB45E4" w:rsidRDefault="00CE07FE">
      <w:pPr>
        <w:numPr>
          <w:ilvl w:val="0"/>
          <w:numId w:val="1"/>
        </w:numPr>
        <w:ind w:left="340"/>
      </w:pPr>
      <w:r>
        <w:rPr>
          <w:rFonts w:cs="Arial"/>
          <w:szCs w:val="20"/>
        </w:rPr>
        <w:t>The reasons for the dismissal</w:t>
      </w:r>
    </w:p>
    <w:p w14:paraId="60A2B8E7" w14:textId="77777777" w:rsidR="00AB45E4" w:rsidRDefault="00CE07FE">
      <w:pPr>
        <w:numPr>
          <w:ilvl w:val="0"/>
          <w:numId w:val="1"/>
        </w:numPr>
        <w:ind w:left="340"/>
        <w:rPr>
          <w:rFonts w:cs="Arial"/>
          <w:szCs w:val="20"/>
        </w:rPr>
      </w:pPr>
      <w:r>
        <w:rPr>
          <w:rFonts w:cs="Arial"/>
          <w:szCs w:val="20"/>
        </w:rPr>
        <w:t>The date on which the employment contract will end</w:t>
      </w:r>
    </w:p>
    <w:p w14:paraId="5D9C7286" w14:textId="77777777" w:rsidR="00AB45E4" w:rsidRDefault="00CE07FE">
      <w:pPr>
        <w:numPr>
          <w:ilvl w:val="0"/>
          <w:numId w:val="1"/>
        </w:numPr>
        <w:ind w:left="340"/>
        <w:rPr>
          <w:rFonts w:cs="Arial"/>
          <w:szCs w:val="20"/>
        </w:rPr>
      </w:pPr>
      <w:r>
        <w:rPr>
          <w:rFonts w:cs="Arial"/>
          <w:szCs w:val="20"/>
        </w:rPr>
        <w:t>The appropriate period of notice</w:t>
      </w:r>
    </w:p>
    <w:p w14:paraId="55E25B24" w14:textId="77777777" w:rsidR="00AB45E4" w:rsidRDefault="00CE07FE">
      <w:pPr>
        <w:numPr>
          <w:ilvl w:val="0"/>
          <w:numId w:val="1"/>
        </w:numPr>
        <w:ind w:left="340"/>
        <w:rPr>
          <w:rFonts w:cs="Arial"/>
          <w:szCs w:val="20"/>
        </w:rPr>
      </w:pPr>
      <w:r>
        <w:rPr>
          <w:rFonts w:cs="Arial"/>
          <w:szCs w:val="20"/>
        </w:rPr>
        <w:t>Their right of appeal</w:t>
      </w:r>
    </w:p>
    <w:p w14:paraId="67CF5376" w14:textId="77777777" w:rsidR="00AB45E4" w:rsidRDefault="00CE07FE">
      <w:pPr>
        <w:spacing w:before="240"/>
        <w:rPr>
          <w:b/>
          <w:color w:val="12263F"/>
          <w:sz w:val="24"/>
        </w:rPr>
      </w:pPr>
      <w:r>
        <w:rPr>
          <w:b/>
          <w:color w:val="12263F"/>
          <w:sz w:val="24"/>
        </w:rPr>
        <w:t>5.5 Dismissal</w:t>
      </w:r>
    </w:p>
    <w:p w14:paraId="17C1B87A" w14:textId="77777777" w:rsidR="00AB45E4" w:rsidRDefault="00CE07FE">
      <w:r>
        <w:t>The power to decide that members of staff should no longer work at this school has been delegated to the head teacher.</w:t>
      </w:r>
    </w:p>
    <w:p w14:paraId="7DCED54B" w14:textId="77777777" w:rsidR="00AB45E4" w:rsidRDefault="00CE07FE">
      <w:pPr>
        <w:pStyle w:val="Heading1"/>
      </w:pPr>
      <w:bookmarkStart w:id="16" w:name="_Toc492898578"/>
      <w:bookmarkStart w:id="17" w:name="_Toc176420539"/>
      <w:r>
        <w:t xml:space="preserve">6. Right to </w:t>
      </w:r>
      <w:r>
        <w:t>appeal</w:t>
      </w:r>
      <w:bookmarkEnd w:id="16"/>
      <w:bookmarkEnd w:id="17"/>
    </w:p>
    <w:p w14:paraId="02D98833" w14:textId="77777777" w:rsidR="00AB45E4" w:rsidRDefault="00CE07FE">
      <w:pPr>
        <w:pStyle w:val="1bodycopy10pt"/>
      </w:pPr>
      <w:r>
        <w:t xml:space="preserve">If a staff member feels that a decision to dismiss them is wrong or unjust, they may appeal in writing against the decision within 15 working days of the decision, setting out at the same time the grounds for appeal. </w:t>
      </w:r>
    </w:p>
    <w:p w14:paraId="6E4ABA02" w14:textId="77777777" w:rsidR="00AB45E4" w:rsidRDefault="00CE07FE">
      <w:pPr>
        <w:pStyle w:val="1bodycopy10pt"/>
      </w:pPr>
      <w:r>
        <w:t xml:space="preserve">Appeals will be heard without unreasonable delay and at an agreed time and place. The same arrangements for notification and statutory right to be accompanied will apply as with formal capability and review meetings. Notes will be taken and a copy sent to the staff member. </w:t>
      </w:r>
    </w:p>
    <w:p w14:paraId="43CEC262" w14:textId="77777777" w:rsidR="00AB45E4" w:rsidRDefault="00CE07FE">
      <w:pPr>
        <w:pStyle w:val="1bodycopy10pt"/>
      </w:pPr>
      <w:r>
        <w:t xml:space="preserve">The appeal will be dealt with impartially and by senior leaders or governors who have not previously been involved in the case. </w:t>
      </w:r>
    </w:p>
    <w:p w14:paraId="6E040A7B" w14:textId="77777777" w:rsidR="00AB45E4" w:rsidRDefault="00CE07FE">
      <w:pPr>
        <w:pStyle w:val="1bodycopy10pt"/>
      </w:pPr>
      <w:r>
        <w:t>The staff member will be informed in writing of the results of the appeal hearing within 5 working days.</w:t>
      </w:r>
      <w:bookmarkStart w:id="18" w:name="_Toc492898579"/>
    </w:p>
    <w:p w14:paraId="2C130B91" w14:textId="77777777" w:rsidR="00AB45E4" w:rsidRDefault="00CE07FE">
      <w:pPr>
        <w:pStyle w:val="Heading1"/>
      </w:pPr>
      <w:bookmarkStart w:id="19" w:name="_Toc176420540"/>
      <w:r>
        <w:lastRenderedPageBreak/>
        <w:t>7. Confidentiality</w:t>
      </w:r>
      <w:bookmarkEnd w:id="18"/>
      <w:bookmarkEnd w:id="19"/>
      <w:r>
        <w:t xml:space="preserve"> </w:t>
      </w:r>
    </w:p>
    <w:p w14:paraId="71AF8F51" w14:textId="77777777" w:rsidR="00AB45E4" w:rsidRDefault="00CE07FE">
      <w:pPr>
        <w:pStyle w:val="1bodycopy10pt"/>
      </w:pPr>
      <w:r>
        <w:t xml:space="preserve">The </w:t>
      </w:r>
      <w:r>
        <w:t>capability processes will be treated with confidentiality. However, the desire for confidentiality does not override the need for the headteacher and governing board to quality assure the operation and effectiveness of the system.</w:t>
      </w:r>
      <w:bookmarkStart w:id="20" w:name="_Toc492898580"/>
    </w:p>
    <w:p w14:paraId="771A07DD" w14:textId="77777777" w:rsidR="00AB45E4" w:rsidRDefault="00CE07FE">
      <w:pPr>
        <w:pStyle w:val="Heading1"/>
      </w:pPr>
      <w:bookmarkStart w:id="21" w:name="_Toc176420541"/>
      <w:r>
        <w:t>8. Consistency of treatment and fairness</w:t>
      </w:r>
      <w:bookmarkEnd w:id="20"/>
      <w:bookmarkEnd w:id="21"/>
      <w:r>
        <w:t xml:space="preserve"> </w:t>
      </w:r>
    </w:p>
    <w:p w14:paraId="3CACA9CA" w14:textId="77777777" w:rsidR="00AB45E4" w:rsidRDefault="00CE07FE">
      <w:pPr>
        <w:pStyle w:val="1bodycopy10pt"/>
      </w:pPr>
      <w:r>
        <w:t xml:space="preserve">The governing board is committed to ensuring consistency of treatment and fairness. It will abide by all relevant equality legislation, including the duty to make reasonable adjustments where these are deemed either necessary or appropriate. </w:t>
      </w:r>
    </w:p>
    <w:p w14:paraId="46FA71A4" w14:textId="77777777" w:rsidR="00AB45E4" w:rsidRDefault="00CE07FE">
      <w:pPr>
        <w:pStyle w:val="1bodycopy10pt"/>
      </w:pPr>
      <w:r>
        <w:t>The governing board is aware of the guidance and provisions of the Equality Act 2010.</w:t>
      </w:r>
      <w:bookmarkStart w:id="22" w:name="_Toc492898581"/>
    </w:p>
    <w:p w14:paraId="10E67074" w14:textId="77777777" w:rsidR="00AB45E4" w:rsidRDefault="00CE07FE">
      <w:pPr>
        <w:pStyle w:val="Heading1"/>
      </w:pPr>
      <w:bookmarkStart w:id="23" w:name="_Toc176420542"/>
      <w:r>
        <w:t>9. Monitoring arrangements</w:t>
      </w:r>
      <w:bookmarkEnd w:id="22"/>
      <w:bookmarkEnd w:id="23"/>
      <w:r>
        <w:t xml:space="preserve">  </w:t>
      </w:r>
    </w:p>
    <w:p w14:paraId="7374DDBE" w14:textId="77777777" w:rsidR="00AB45E4" w:rsidRDefault="00CE07FE">
      <w:pPr>
        <w:pStyle w:val="1bodycopy10pt"/>
      </w:pPr>
      <w:r>
        <w:t xml:space="preserve">The effectiveness of this policy will be monitored by the headteacher and governing board. </w:t>
      </w:r>
    </w:p>
    <w:p w14:paraId="656BA66D" w14:textId="77777777" w:rsidR="00AB45E4" w:rsidRDefault="00CE07FE">
      <w:pPr>
        <w:pStyle w:val="1bodycopy10pt"/>
      </w:pPr>
      <w:r>
        <w:t>This policy will be reviewed every year but can be revised as needed.</w:t>
      </w:r>
    </w:p>
    <w:p w14:paraId="6DDC8CB8" w14:textId="77777777" w:rsidR="00AB45E4" w:rsidRDefault="00CE07FE">
      <w:pPr>
        <w:pStyle w:val="1bodycopy10pt"/>
      </w:pPr>
      <w:r>
        <w:t>This policy will be approved by the full governing body.</w:t>
      </w:r>
    </w:p>
    <w:p w14:paraId="410F68FA" w14:textId="77777777" w:rsidR="00AB45E4" w:rsidRDefault="00CE07FE">
      <w:pPr>
        <w:pStyle w:val="Heading1"/>
      </w:pPr>
      <w:bookmarkStart w:id="24" w:name="_Toc492898582"/>
      <w:bookmarkStart w:id="25" w:name="_Toc176420543"/>
      <w:r>
        <w:t>10. Links with other policies</w:t>
      </w:r>
      <w:bookmarkEnd w:id="24"/>
      <w:bookmarkEnd w:id="25"/>
      <w:r>
        <w:t xml:space="preserve"> </w:t>
      </w:r>
    </w:p>
    <w:p w14:paraId="073B1BA9" w14:textId="77777777" w:rsidR="00AB45E4" w:rsidRDefault="00CE07FE">
      <w:pPr>
        <w:pStyle w:val="1bodycopy10pt"/>
      </w:pPr>
      <w:r>
        <w:t xml:space="preserve">This policy links to our policies on: </w:t>
      </w:r>
    </w:p>
    <w:p w14:paraId="01A0D7E6" w14:textId="77777777" w:rsidR="00AB45E4" w:rsidRDefault="00CE07FE">
      <w:pPr>
        <w:pStyle w:val="4Bulletedcopyblue"/>
      </w:pPr>
      <w:r>
        <w:t xml:space="preserve">Staff code of conduct </w:t>
      </w:r>
    </w:p>
    <w:p w14:paraId="12873A32" w14:textId="77777777" w:rsidR="00AB45E4" w:rsidRDefault="00CE07FE">
      <w:pPr>
        <w:pStyle w:val="4Bulletedcopyblue"/>
      </w:pPr>
      <w:r>
        <w:t>Appraisal policy</w:t>
      </w:r>
    </w:p>
    <w:p w14:paraId="68D04703" w14:textId="77777777" w:rsidR="00AB45E4" w:rsidRDefault="00CE07FE">
      <w:pPr>
        <w:pStyle w:val="4Bulletedcopyblue"/>
      </w:pPr>
      <w:r>
        <w:t>Staff grievance procedures</w:t>
      </w:r>
    </w:p>
    <w:p w14:paraId="194121EF" w14:textId="77777777" w:rsidR="00AB45E4" w:rsidRDefault="00CE07FE">
      <w:pPr>
        <w:pStyle w:val="4Bulletedcopyblue"/>
      </w:pPr>
      <w:r>
        <w:t xml:space="preserve">Staff disciplinary procedures </w:t>
      </w:r>
    </w:p>
    <w:p w14:paraId="72BF95E7" w14:textId="77777777" w:rsidR="00AB45E4" w:rsidRDefault="00CE07FE">
      <w:pPr>
        <w:pStyle w:val="4Bulletedcopyblue"/>
      </w:pPr>
      <w:r>
        <w:t xml:space="preserve">Equality information and objectives </w:t>
      </w:r>
    </w:p>
    <w:p w14:paraId="3AE6B515" w14:textId="77777777" w:rsidR="00AB45E4" w:rsidRDefault="00CE07FE">
      <w:pPr>
        <w:pStyle w:val="4Bulletedcopyblue"/>
      </w:pPr>
      <w:r>
        <w:t>Early career teacher (ECT) induction</w:t>
      </w:r>
    </w:p>
    <w:p w14:paraId="3FBDAB57" w14:textId="77777777" w:rsidR="00AB45E4" w:rsidRDefault="00AB45E4">
      <w:pPr>
        <w:pStyle w:val="4Bulletedcopyblue"/>
        <w:numPr>
          <w:ilvl w:val="0"/>
          <w:numId w:val="0"/>
        </w:numPr>
        <w:ind w:left="170" w:hanging="170"/>
      </w:pPr>
    </w:p>
    <w:p w14:paraId="6A62F1BC" w14:textId="77777777" w:rsidR="00AB45E4" w:rsidRDefault="00AB45E4">
      <w:pPr>
        <w:pStyle w:val="4Bulletedcopyblue"/>
        <w:numPr>
          <w:ilvl w:val="0"/>
          <w:numId w:val="0"/>
        </w:numPr>
        <w:ind w:left="170" w:hanging="170"/>
      </w:pPr>
    </w:p>
    <w:p w14:paraId="70E09DEC" w14:textId="77777777" w:rsidR="00AB45E4" w:rsidRDefault="00AB45E4">
      <w:pPr>
        <w:pStyle w:val="4Bulletedcopyblue"/>
        <w:numPr>
          <w:ilvl w:val="0"/>
          <w:numId w:val="0"/>
        </w:numPr>
        <w:ind w:left="170" w:hanging="170"/>
      </w:pPr>
    </w:p>
    <w:p w14:paraId="741764C3" w14:textId="77777777" w:rsidR="00AB45E4" w:rsidRDefault="00AB45E4">
      <w:pPr>
        <w:pStyle w:val="4Bulletedcopyblue"/>
        <w:numPr>
          <w:ilvl w:val="0"/>
          <w:numId w:val="0"/>
        </w:numPr>
        <w:ind w:left="170" w:hanging="170"/>
      </w:pPr>
    </w:p>
    <w:p w14:paraId="40817AC3" w14:textId="77777777" w:rsidR="00AB45E4" w:rsidRDefault="00AB45E4">
      <w:pPr>
        <w:pStyle w:val="4Bulletedcopyblue"/>
        <w:numPr>
          <w:ilvl w:val="0"/>
          <w:numId w:val="0"/>
        </w:numPr>
        <w:ind w:left="170" w:hanging="170"/>
      </w:pPr>
    </w:p>
    <w:p w14:paraId="424F504C" w14:textId="77777777" w:rsidR="00AB45E4" w:rsidRDefault="00AB45E4">
      <w:pPr>
        <w:pStyle w:val="4Bulletedcopyblue"/>
        <w:numPr>
          <w:ilvl w:val="0"/>
          <w:numId w:val="0"/>
        </w:numPr>
        <w:ind w:left="170" w:hanging="170"/>
      </w:pPr>
    </w:p>
    <w:p w14:paraId="77C85C0E" w14:textId="77777777" w:rsidR="00AB45E4" w:rsidRDefault="00AB45E4">
      <w:pPr>
        <w:pStyle w:val="4Bulletedcopyblue"/>
        <w:numPr>
          <w:ilvl w:val="0"/>
          <w:numId w:val="0"/>
        </w:numPr>
        <w:ind w:left="170" w:hanging="170"/>
      </w:pPr>
    </w:p>
    <w:p w14:paraId="5C808D3B" w14:textId="77777777" w:rsidR="00AB45E4" w:rsidRDefault="00AB45E4">
      <w:pPr>
        <w:pStyle w:val="4Bulletedcopyblue"/>
        <w:numPr>
          <w:ilvl w:val="0"/>
          <w:numId w:val="0"/>
        </w:numPr>
        <w:ind w:left="170" w:hanging="170"/>
      </w:pPr>
    </w:p>
    <w:p w14:paraId="4AB6EBEC" w14:textId="77777777" w:rsidR="00AB45E4" w:rsidRDefault="00AB45E4">
      <w:pPr>
        <w:pStyle w:val="4Bulletedcopyblue"/>
        <w:numPr>
          <w:ilvl w:val="0"/>
          <w:numId w:val="0"/>
        </w:numPr>
        <w:ind w:left="170" w:hanging="170"/>
      </w:pPr>
    </w:p>
    <w:p w14:paraId="66858E41" w14:textId="77777777" w:rsidR="00AB45E4" w:rsidRDefault="00AB45E4">
      <w:pPr>
        <w:pStyle w:val="4Bulletedcopyblue"/>
        <w:numPr>
          <w:ilvl w:val="0"/>
          <w:numId w:val="0"/>
        </w:numPr>
        <w:ind w:left="170" w:hanging="170"/>
      </w:pPr>
    </w:p>
    <w:p w14:paraId="2CAF456E" w14:textId="77777777" w:rsidR="00AB45E4" w:rsidRDefault="00CE07FE">
      <w:pPr>
        <w:keepNext/>
        <w:keepLines/>
        <w:spacing w:before="120" w:line="251" w:lineRule="auto"/>
        <w:outlineLvl w:val="2"/>
      </w:pPr>
      <w:bookmarkStart w:id="26" w:name="_Toc492898583"/>
      <w:bookmarkStart w:id="27" w:name="_Toc176420544"/>
      <w:r>
        <w:rPr>
          <w:rFonts w:eastAsia="MS Gothic" w:cs="Arial"/>
          <w:b/>
          <w:bCs/>
          <w:color w:val="7F7F7F"/>
          <w:sz w:val="24"/>
          <w:szCs w:val="32"/>
        </w:rPr>
        <w:t>Appendix 1: capability action plan template</w:t>
      </w:r>
      <w:bookmarkEnd w:id="26"/>
      <w:bookmarkEnd w:id="27"/>
      <w:r>
        <w:rPr>
          <w:rFonts w:eastAsia="MS Gothic" w:cs="Arial"/>
          <w:b/>
          <w:bCs/>
          <w:color w:val="7F7F7F"/>
          <w:sz w:val="24"/>
          <w:szCs w:val="32"/>
        </w:rPr>
        <w:t xml:space="preserve"> </w:t>
      </w:r>
    </w:p>
    <w:p w14:paraId="5B07636D" w14:textId="77777777" w:rsidR="00AB45E4" w:rsidRDefault="00CE07FE">
      <w:pPr>
        <w:keepLines/>
        <w:spacing w:after="60"/>
        <w:rPr>
          <w:lang w:val="en-GB"/>
        </w:rPr>
      </w:pPr>
      <w:r>
        <w:rPr>
          <w:lang w:val="en-GB"/>
        </w:rPr>
        <w:t xml:space="preserve">This template can be used as part of the process of supporting a teacher who is underperforming. It records the outcomes of the </w:t>
      </w:r>
      <w:r>
        <w:rPr>
          <w:lang w:val="en-GB"/>
        </w:rPr>
        <w:t xml:space="preserve">initial capability meeting, where targets and timescales are set and agreed. </w:t>
      </w:r>
    </w:p>
    <w:p w14:paraId="457E3DF7" w14:textId="77777777" w:rsidR="00AB45E4" w:rsidRDefault="00CE07FE">
      <w:pPr>
        <w:keepLines/>
        <w:spacing w:after="60"/>
      </w:pPr>
      <w:r>
        <w:rPr>
          <w:lang w:val="en-GB"/>
        </w:rPr>
        <w:lastRenderedPageBreak/>
        <w:t>Where possible, the objectives should be linked to the relevant professional standards, appropriate to the career experience of the member of staff concerned.</w:t>
      </w:r>
    </w:p>
    <w:p w14:paraId="171BFFC1" w14:textId="77777777" w:rsidR="00AB45E4" w:rsidRDefault="00AB45E4">
      <w:pPr>
        <w:rPr>
          <w:rFonts w:cs="Arial"/>
          <w:szCs w:val="20"/>
        </w:rPr>
      </w:pPr>
    </w:p>
    <w:tbl>
      <w:tblPr>
        <w:tblW w:w="9736" w:type="dxa"/>
        <w:tblCellMar>
          <w:left w:w="10" w:type="dxa"/>
          <w:right w:w="10" w:type="dxa"/>
        </w:tblCellMar>
        <w:tblLook w:val="0000" w:firstRow="0" w:lastRow="0" w:firstColumn="0" w:lastColumn="0" w:noHBand="0" w:noVBand="0"/>
      </w:tblPr>
      <w:tblGrid>
        <w:gridCol w:w="3710"/>
        <w:gridCol w:w="3821"/>
        <w:gridCol w:w="2205"/>
      </w:tblGrid>
      <w:tr w:rsidR="00AB45E4" w14:paraId="34EDDB51" w14:textId="77777777">
        <w:tblPrEx>
          <w:tblCellMar>
            <w:top w:w="0" w:type="dxa"/>
            <w:bottom w:w="0" w:type="dxa"/>
          </w:tblCellMar>
        </w:tblPrEx>
        <w:trPr>
          <w:cantSplit/>
          <w:trHeight w:val="454"/>
          <w:tblHeader/>
        </w:trPr>
        <w:tc>
          <w:tcPr>
            <w:tcW w:w="3710"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282F4C7B" w14:textId="77777777" w:rsidR="00AB45E4" w:rsidRDefault="00CE07FE">
            <w:pPr>
              <w:rPr>
                <w:rFonts w:cs="Arial"/>
                <w:caps/>
                <w:szCs w:val="20"/>
              </w:rPr>
            </w:pPr>
            <w:r>
              <w:rPr>
                <w:rFonts w:cs="Arial"/>
                <w:caps/>
                <w:szCs w:val="20"/>
              </w:rPr>
              <w:t>Name of staff member</w:t>
            </w:r>
          </w:p>
        </w:tc>
        <w:tc>
          <w:tcPr>
            <w:tcW w:w="3821"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3995DB75" w14:textId="77777777" w:rsidR="00AB45E4" w:rsidRDefault="00CE07FE">
            <w:pPr>
              <w:rPr>
                <w:rFonts w:cs="Arial"/>
                <w:caps/>
                <w:szCs w:val="20"/>
              </w:rPr>
            </w:pPr>
            <w:r>
              <w:rPr>
                <w:rFonts w:cs="Arial"/>
                <w:caps/>
                <w:szCs w:val="20"/>
              </w:rPr>
              <w:t>Name of Appraiser</w:t>
            </w:r>
          </w:p>
        </w:tc>
        <w:tc>
          <w:tcPr>
            <w:tcW w:w="2205"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4510EA00" w14:textId="77777777" w:rsidR="00AB45E4" w:rsidRDefault="00CE07FE">
            <w:pPr>
              <w:rPr>
                <w:rFonts w:cs="Arial"/>
                <w:caps/>
                <w:szCs w:val="20"/>
              </w:rPr>
            </w:pPr>
            <w:r>
              <w:rPr>
                <w:rFonts w:cs="Arial"/>
                <w:caps/>
                <w:szCs w:val="20"/>
              </w:rPr>
              <w:t>Date of meeting</w:t>
            </w:r>
          </w:p>
        </w:tc>
      </w:tr>
      <w:tr w:rsidR="00AB45E4" w14:paraId="69F266A4" w14:textId="77777777">
        <w:tblPrEx>
          <w:tblCellMar>
            <w:top w:w="0" w:type="dxa"/>
            <w:bottom w:w="0" w:type="dxa"/>
          </w:tblCellMar>
        </w:tblPrEx>
        <w:trPr>
          <w:cantSplit/>
          <w:trHeight w:val="454"/>
        </w:trPr>
        <w:tc>
          <w:tcPr>
            <w:tcW w:w="371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40379AF" w14:textId="77777777" w:rsidR="00AB45E4" w:rsidRDefault="00AB45E4">
            <w:pPr>
              <w:rPr>
                <w:rFonts w:cs="Arial"/>
                <w:szCs w:val="20"/>
              </w:rPr>
            </w:pPr>
          </w:p>
        </w:tc>
        <w:tc>
          <w:tcPr>
            <w:tcW w:w="3821"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45FFE73" w14:textId="77777777" w:rsidR="00AB45E4" w:rsidRDefault="00AB45E4">
            <w:pPr>
              <w:rPr>
                <w:rFonts w:cs="Arial"/>
                <w:szCs w:val="20"/>
              </w:rPr>
            </w:pPr>
          </w:p>
        </w:tc>
        <w:tc>
          <w:tcPr>
            <w:tcW w:w="2205"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1B14D61" w14:textId="77777777" w:rsidR="00AB45E4" w:rsidRDefault="00AB45E4">
            <w:pPr>
              <w:rPr>
                <w:rFonts w:cs="Arial"/>
                <w:szCs w:val="20"/>
              </w:rPr>
            </w:pPr>
          </w:p>
        </w:tc>
      </w:tr>
    </w:tbl>
    <w:p w14:paraId="13588AB5" w14:textId="77777777" w:rsidR="00AB45E4" w:rsidRDefault="00AB45E4">
      <w:pPr>
        <w:rPr>
          <w:rFonts w:cs="Arial"/>
          <w:b/>
          <w:szCs w:val="20"/>
        </w:rPr>
      </w:pPr>
    </w:p>
    <w:tbl>
      <w:tblPr>
        <w:tblW w:w="9736" w:type="dxa"/>
        <w:tblCellMar>
          <w:left w:w="10" w:type="dxa"/>
          <w:right w:w="10" w:type="dxa"/>
        </w:tblCellMar>
        <w:tblLook w:val="0000" w:firstRow="0" w:lastRow="0" w:firstColumn="0" w:lastColumn="0" w:noHBand="0" w:noVBand="0"/>
      </w:tblPr>
      <w:tblGrid>
        <w:gridCol w:w="3662"/>
        <w:gridCol w:w="3130"/>
        <w:gridCol w:w="2944"/>
      </w:tblGrid>
      <w:tr w:rsidR="00AB45E4" w14:paraId="655CD494" w14:textId="77777777">
        <w:tblPrEx>
          <w:tblCellMar>
            <w:top w:w="0" w:type="dxa"/>
            <w:bottom w:w="0" w:type="dxa"/>
          </w:tblCellMar>
        </w:tblPrEx>
        <w:trPr>
          <w:cantSplit/>
          <w:trHeight w:val="567"/>
          <w:tblHeader/>
        </w:trPr>
        <w:tc>
          <w:tcPr>
            <w:tcW w:w="9736" w:type="dxa"/>
            <w:gridSpan w:val="3"/>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46CDEF29" w14:textId="77777777" w:rsidR="00AB45E4" w:rsidRDefault="00CE07FE">
            <w:pPr>
              <w:rPr>
                <w:rFonts w:cs="Arial"/>
                <w:caps/>
                <w:szCs w:val="20"/>
              </w:rPr>
            </w:pPr>
            <w:r>
              <w:rPr>
                <w:rFonts w:cs="Arial"/>
                <w:caps/>
                <w:szCs w:val="20"/>
              </w:rPr>
              <w:t>Objective 1:</w:t>
            </w:r>
          </w:p>
        </w:tc>
      </w:tr>
      <w:tr w:rsidR="00AB45E4" w14:paraId="6ADE255A" w14:textId="77777777">
        <w:tblPrEx>
          <w:tblCellMar>
            <w:top w:w="0" w:type="dxa"/>
            <w:bottom w:w="0" w:type="dxa"/>
          </w:tblCellMar>
        </w:tblPrEx>
        <w:trPr>
          <w:cantSplit/>
          <w:trHeight w:val="850"/>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554260E" w14:textId="77777777" w:rsidR="00AB45E4" w:rsidRDefault="00CE07FE">
            <w:pPr>
              <w:keepLines/>
              <w:spacing w:after="60"/>
            </w:pPr>
            <w:r>
              <w:t xml:space="preserve">Professional standard(s) </w:t>
            </w:r>
            <w:r>
              <w:br/>
            </w:r>
            <w:r>
              <w:t>that the objective relates to</w:t>
            </w: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844BD53" w14:textId="77777777" w:rsidR="00AB45E4" w:rsidRDefault="00CE07FE">
            <w:pPr>
              <w:keepLines/>
              <w:spacing w:after="60"/>
            </w:pPr>
            <w:r>
              <w:t>Success criteria</w:t>
            </w: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0201BFB" w14:textId="77777777" w:rsidR="00AB45E4" w:rsidRDefault="00CE07FE">
            <w:pPr>
              <w:keepLines/>
              <w:spacing w:after="60"/>
            </w:pPr>
            <w:r>
              <w:t xml:space="preserve">Evidence to be used to </w:t>
            </w:r>
            <w:r>
              <w:br/>
            </w:r>
            <w:r>
              <w:t>assess progress</w:t>
            </w:r>
          </w:p>
        </w:tc>
      </w:tr>
      <w:tr w:rsidR="00AB45E4" w14:paraId="0C9881BA" w14:textId="77777777">
        <w:tblPrEx>
          <w:tblCellMar>
            <w:top w:w="0" w:type="dxa"/>
            <w:bottom w:w="0" w:type="dxa"/>
          </w:tblCellMar>
        </w:tblPrEx>
        <w:trPr>
          <w:cantSplit/>
          <w:trHeight w:val="1701"/>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74BDE3D" w14:textId="77777777" w:rsidR="00AB45E4" w:rsidRDefault="00AB45E4">
            <w:pPr>
              <w:keepLines/>
              <w:spacing w:after="60"/>
            </w:pP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499ABA4" w14:textId="77777777" w:rsidR="00AB45E4" w:rsidRDefault="00AB45E4">
            <w:pPr>
              <w:keepLines/>
              <w:spacing w:after="60"/>
            </w:pP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65A987A" w14:textId="77777777" w:rsidR="00AB45E4" w:rsidRDefault="00AB45E4">
            <w:pPr>
              <w:keepLines/>
              <w:spacing w:after="60"/>
            </w:pPr>
          </w:p>
        </w:tc>
      </w:tr>
      <w:tr w:rsidR="00AB45E4" w14:paraId="15A4EC35" w14:textId="77777777">
        <w:tblPrEx>
          <w:tblCellMar>
            <w:top w:w="0" w:type="dxa"/>
            <w:bottom w:w="0" w:type="dxa"/>
          </w:tblCellMar>
        </w:tblPrEx>
        <w:trPr>
          <w:cantSplit/>
          <w:trHeight w:val="850"/>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1B5645B" w14:textId="77777777" w:rsidR="00AB45E4" w:rsidRDefault="00CE07FE">
            <w:pPr>
              <w:keepLines/>
              <w:spacing w:after="60"/>
            </w:pPr>
            <w:r>
              <w:t>Support/resources to be provided</w:t>
            </w: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6D7E235" w14:textId="77777777" w:rsidR="00AB45E4" w:rsidRDefault="00CE07FE">
            <w:pPr>
              <w:keepLines/>
              <w:spacing w:after="60"/>
            </w:pPr>
            <w:r>
              <w:t>Monitoring arrangements</w:t>
            </w: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30DDB5B" w14:textId="77777777" w:rsidR="00AB45E4" w:rsidRDefault="00CE07FE">
            <w:pPr>
              <w:keepLines/>
              <w:spacing w:after="60"/>
            </w:pPr>
            <w:r>
              <w:t>Review date</w:t>
            </w:r>
          </w:p>
        </w:tc>
      </w:tr>
      <w:tr w:rsidR="00AB45E4" w14:paraId="3FDE7221" w14:textId="77777777">
        <w:tblPrEx>
          <w:tblCellMar>
            <w:top w:w="0" w:type="dxa"/>
            <w:bottom w:w="0" w:type="dxa"/>
          </w:tblCellMar>
        </w:tblPrEx>
        <w:trPr>
          <w:cantSplit/>
          <w:trHeight w:val="1701"/>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3065EEE" w14:textId="77777777" w:rsidR="00AB45E4" w:rsidRDefault="00AB45E4">
            <w:pPr>
              <w:rPr>
                <w:rFonts w:cs="Arial"/>
                <w:szCs w:val="20"/>
              </w:rPr>
            </w:pP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674BAB5" w14:textId="77777777" w:rsidR="00AB45E4" w:rsidRDefault="00AB45E4">
            <w:pPr>
              <w:rPr>
                <w:rFonts w:cs="Arial"/>
                <w:szCs w:val="20"/>
              </w:rPr>
            </w:pP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72BA179" w14:textId="77777777" w:rsidR="00AB45E4" w:rsidRDefault="00AB45E4">
            <w:pPr>
              <w:rPr>
                <w:rFonts w:cs="Arial"/>
                <w:szCs w:val="20"/>
              </w:rPr>
            </w:pPr>
          </w:p>
        </w:tc>
      </w:tr>
    </w:tbl>
    <w:p w14:paraId="53CD274A" w14:textId="77777777" w:rsidR="00AB45E4" w:rsidRDefault="00AB45E4">
      <w:pPr>
        <w:pageBreakBefore/>
        <w:rPr>
          <w:rFonts w:cs="Arial"/>
          <w:b/>
          <w:szCs w:val="20"/>
        </w:rPr>
      </w:pPr>
    </w:p>
    <w:p w14:paraId="006930C8" w14:textId="77777777" w:rsidR="00AB45E4" w:rsidRDefault="00AB45E4">
      <w:pPr>
        <w:rPr>
          <w:rFonts w:cs="Arial"/>
          <w:b/>
          <w:szCs w:val="20"/>
        </w:rPr>
      </w:pPr>
    </w:p>
    <w:tbl>
      <w:tblPr>
        <w:tblW w:w="9736" w:type="dxa"/>
        <w:tblCellMar>
          <w:left w:w="10" w:type="dxa"/>
          <w:right w:w="10" w:type="dxa"/>
        </w:tblCellMar>
        <w:tblLook w:val="0000" w:firstRow="0" w:lastRow="0" w:firstColumn="0" w:lastColumn="0" w:noHBand="0" w:noVBand="0"/>
      </w:tblPr>
      <w:tblGrid>
        <w:gridCol w:w="3662"/>
        <w:gridCol w:w="3130"/>
        <w:gridCol w:w="2944"/>
      </w:tblGrid>
      <w:tr w:rsidR="00AB45E4" w14:paraId="19242169" w14:textId="77777777">
        <w:tblPrEx>
          <w:tblCellMar>
            <w:top w:w="0" w:type="dxa"/>
            <w:bottom w:w="0" w:type="dxa"/>
          </w:tblCellMar>
        </w:tblPrEx>
        <w:trPr>
          <w:cantSplit/>
          <w:trHeight w:val="567"/>
          <w:tblHeader/>
        </w:trPr>
        <w:tc>
          <w:tcPr>
            <w:tcW w:w="9736" w:type="dxa"/>
            <w:gridSpan w:val="3"/>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5E811589" w14:textId="77777777" w:rsidR="00AB45E4" w:rsidRDefault="00CE07FE">
            <w:pPr>
              <w:rPr>
                <w:rFonts w:cs="Arial"/>
                <w:caps/>
                <w:szCs w:val="20"/>
              </w:rPr>
            </w:pPr>
            <w:r>
              <w:rPr>
                <w:rFonts w:cs="Arial"/>
                <w:caps/>
                <w:szCs w:val="20"/>
              </w:rPr>
              <w:t>Objective 2:</w:t>
            </w:r>
          </w:p>
        </w:tc>
      </w:tr>
      <w:tr w:rsidR="00AB45E4" w14:paraId="02BD1FA6" w14:textId="77777777">
        <w:tblPrEx>
          <w:tblCellMar>
            <w:top w:w="0" w:type="dxa"/>
            <w:bottom w:w="0" w:type="dxa"/>
          </w:tblCellMar>
        </w:tblPrEx>
        <w:trPr>
          <w:cantSplit/>
          <w:trHeight w:val="850"/>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A226594" w14:textId="77777777" w:rsidR="00AB45E4" w:rsidRDefault="00CE07FE">
            <w:pPr>
              <w:keepLines/>
              <w:spacing w:after="60"/>
            </w:pPr>
            <w:r>
              <w:t xml:space="preserve">Professional standard(s) </w:t>
            </w:r>
            <w:r>
              <w:br/>
            </w:r>
            <w:r>
              <w:t>that the objective relates to</w:t>
            </w: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49FAD97" w14:textId="77777777" w:rsidR="00AB45E4" w:rsidRDefault="00CE07FE">
            <w:pPr>
              <w:keepLines/>
              <w:spacing w:after="60"/>
            </w:pPr>
            <w:r>
              <w:t>Success criteria</w:t>
            </w: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CD356FD" w14:textId="77777777" w:rsidR="00AB45E4" w:rsidRDefault="00CE07FE">
            <w:pPr>
              <w:keepLines/>
              <w:spacing w:after="60"/>
            </w:pPr>
            <w:r>
              <w:t xml:space="preserve">Evidence to be used to </w:t>
            </w:r>
            <w:r>
              <w:br/>
            </w:r>
            <w:r>
              <w:t>assess progress</w:t>
            </w:r>
          </w:p>
        </w:tc>
      </w:tr>
      <w:tr w:rsidR="00AB45E4" w14:paraId="5F11C161" w14:textId="77777777">
        <w:tblPrEx>
          <w:tblCellMar>
            <w:top w:w="0" w:type="dxa"/>
            <w:bottom w:w="0" w:type="dxa"/>
          </w:tblCellMar>
        </w:tblPrEx>
        <w:trPr>
          <w:cantSplit/>
          <w:trHeight w:val="1701"/>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2C73E0F9" w14:textId="77777777" w:rsidR="00AB45E4" w:rsidRDefault="00AB45E4">
            <w:pPr>
              <w:keepLines/>
              <w:spacing w:after="60"/>
            </w:pP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48A76BD" w14:textId="77777777" w:rsidR="00AB45E4" w:rsidRDefault="00AB45E4">
            <w:pPr>
              <w:keepLines/>
              <w:spacing w:after="60"/>
            </w:pP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EFA3009" w14:textId="77777777" w:rsidR="00AB45E4" w:rsidRDefault="00AB45E4">
            <w:pPr>
              <w:keepLines/>
              <w:spacing w:after="60"/>
            </w:pPr>
          </w:p>
        </w:tc>
      </w:tr>
      <w:tr w:rsidR="00AB45E4" w14:paraId="60FAEDD5" w14:textId="77777777">
        <w:tblPrEx>
          <w:tblCellMar>
            <w:top w:w="0" w:type="dxa"/>
            <w:bottom w:w="0" w:type="dxa"/>
          </w:tblCellMar>
        </w:tblPrEx>
        <w:trPr>
          <w:cantSplit/>
          <w:trHeight w:val="850"/>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73486AC" w14:textId="77777777" w:rsidR="00AB45E4" w:rsidRDefault="00CE07FE">
            <w:pPr>
              <w:keepLines/>
              <w:spacing w:after="60"/>
            </w:pPr>
            <w:r>
              <w:t>Support/resources to be provided</w:t>
            </w: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51F458F" w14:textId="77777777" w:rsidR="00AB45E4" w:rsidRDefault="00CE07FE">
            <w:pPr>
              <w:keepLines/>
              <w:spacing w:after="60"/>
            </w:pPr>
            <w:r>
              <w:t>Monitoring arrangements</w:t>
            </w: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BBC46F4" w14:textId="77777777" w:rsidR="00AB45E4" w:rsidRDefault="00CE07FE">
            <w:pPr>
              <w:keepLines/>
              <w:spacing w:after="60"/>
            </w:pPr>
            <w:r>
              <w:t>Review date</w:t>
            </w:r>
          </w:p>
        </w:tc>
      </w:tr>
      <w:tr w:rsidR="00AB45E4" w14:paraId="70284C47" w14:textId="77777777">
        <w:tblPrEx>
          <w:tblCellMar>
            <w:top w:w="0" w:type="dxa"/>
            <w:bottom w:w="0" w:type="dxa"/>
          </w:tblCellMar>
        </w:tblPrEx>
        <w:trPr>
          <w:cantSplit/>
          <w:trHeight w:val="1701"/>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582F380" w14:textId="77777777" w:rsidR="00AB45E4" w:rsidRDefault="00AB45E4">
            <w:pPr>
              <w:rPr>
                <w:rFonts w:cs="Arial"/>
                <w:szCs w:val="20"/>
              </w:rPr>
            </w:pP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BC43749" w14:textId="77777777" w:rsidR="00AB45E4" w:rsidRDefault="00AB45E4">
            <w:pPr>
              <w:rPr>
                <w:rFonts w:cs="Arial"/>
                <w:szCs w:val="20"/>
              </w:rPr>
            </w:pP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189D7CB" w14:textId="77777777" w:rsidR="00AB45E4" w:rsidRDefault="00AB45E4">
            <w:pPr>
              <w:rPr>
                <w:rFonts w:cs="Arial"/>
                <w:szCs w:val="20"/>
              </w:rPr>
            </w:pPr>
          </w:p>
        </w:tc>
      </w:tr>
    </w:tbl>
    <w:p w14:paraId="55032F36" w14:textId="77777777" w:rsidR="00AB45E4" w:rsidRDefault="00AB45E4">
      <w:pPr>
        <w:rPr>
          <w:rFonts w:cs="Arial"/>
          <w:b/>
          <w:szCs w:val="20"/>
        </w:rPr>
      </w:pPr>
    </w:p>
    <w:tbl>
      <w:tblPr>
        <w:tblW w:w="9736" w:type="dxa"/>
        <w:tblCellMar>
          <w:left w:w="10" w:type="dxa"/>
          <w:right w:w="10" w:type="dxa"/>
        </w:tblCellMar>
        <w:tblLook w:val="0000" w:firstRow="0" w:lastRow="0" w:firstColumn="0" w:lastColumn="0" w:noHBand="0" w:noVBand="0"/>
      </w:tblPr>
      <w:tblGrid>
        <w:gridCol w:w="3662"/>
        <w:gridCol w:w="3130"/>
        <w:gridCol w:w="2944"/>
      </w:tblGrid>
      <w:tr w:rsidR="00AB45E4" w14:paraId="38484774" w14:textId="77777777">
        <w:tblPrEx>
          <w:tblCellMar>
            <w:top w:w="0" w:type="dxa"/>
            <w:bottom w:w="0" w:type="dxa"/>
          </w:tblCellMar>
        </w:tblPrEx>
        <w:trPr>
          <w:cantSplit/>
          <w:trHeight w:val="567"/>
          <w:tblHeader/>
        </w:trPr>
        <w:tc>
          <w:tcPr>
            <w:tcW w:w="9736" w:type="dxa"/>
            <w:gridSpan w:val="3"/>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76370859" w14:textId="77777777" w:rsidR="00AB45E4" w:rsidRDefault="00CE07FE">
            <w:pPr>
              <w:rPr>
                <w:rFonts w:cs="Arial"/>
                <w:caps/>
                <w:szCs w:val="20"/>
              </w:rPr>
            </w:pPr>
            <w:r>
              <w:rPr>
                <w:rFonts w:cs="Arial"/>
                <w:caps/>
                <w:szCs w:val="20"/>
              </w:rPr>
              <w:t>Objective 3:</w:t>
            </w:r>
          </w:p>
        </w:tc>
      </w:tr>
      <w:tr w:rsidR="00AB45E4" w14:paraId="2D7538F0" w14:textId="77777777">
        <w:tblPrEx>
          <w:tblCellMar>
            <w:top w:w="0" w:type="dxa"/>
            <w:bottom w:w="0" w:type="dxa"/>
          </w:tblCellMar>
        </w:tblPrEx>
        <w:trPr>
          <w:cantSplit/>
          <w:trHeight w:val="850"/>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7E9F034" w14:textId="77777777" w:rsidR="00AB45E4" w:rsidRDefault="00CE07FE">
            <w:pPr>
              <w:keepLines/>
              <w:spacing w:after="60"/>
            </w:pPr>
            <w:r>
              <w:t xml:space="preserve">Professional standard(s) </w:t>
            </w:r>
            <w:r>
              <w:br/>
            </w:r>
            <w:r>
              <w:t xml:space="preserve">that </w:t>
            </w:r>
            <w:r>
              <w:t>the objective relates to</w:t>
            </w: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4B0C42B" w14:textId="77777777" w:rsidR="00AB45E4" w:rsidRDefault="00CE07FE">
            <w:pPr>
              <w:keepLines/>
              <w:spacing w:after="60"/>
            </w:pPr>
            <w:r>
              <w:t>Success criteria</w:t>
            </w: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C629830" w14:textId="77777777" w:rsidR="00AB45E4" w:rsidRDefault="00CE07FE">
            <w:pPr>
              <w:keepLines/>
              <w:spacing w:after="60"/>
            </w:pPr>
            <w:r>
              <w:t xml:space="preserve">Evidence to be used to </w:t>
            </w:r>
            <w:r>
              <w:br/>
            </w:r>
            <w:r>
              <w:t>assess progress</w:t>
            </w:r>
          </w:p>
        </w:tc>
      </w:tr>
      <w:tr w:rsidR="00AB45E4" w14:paraId="0CCDB3BF" w14:textId="77777777">
        <w:tblPrEx>
          <w:tblCellMar>
            <w:top w:w="0" w:type="dxa"/>
            <w:bottom w:w="0" w:type="dxa"/>
          </w:tblCellMar>
        </w:tblPrEx>
        <w:trPr>
          <w:cantSplit/>
          <w:trHeight w:val="1701"/>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5161E51" w14:textId="77777777" w:rsidR="00AB45E4" w:rsidRDefault="00AB45E4">
            <w:pPr>
              <w:keepLines/>
              <w:spacing w:after="60"/>
            </w:pP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C95B5B5" w14:textId="77777777" w:rsidR="00AB45E4" w:rsidRDefault="00AB45E4">
            <w:pPr>
              <w:keepLines/>
              <w:spacing w:after="60"/>
            </w:pP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668C801" w14:textId="77777777" w:rsidR="00AB45E4" w:rsidRDefault="00AB45E4">
            <w:pPr>
              <w:keepLines/>
              <w:spacing w:after="60"/>
            </w:pPr>
          </w:p>
        </w:tc>
      </w:tr>
      <w:tr w:rsidR="00AB45E4" w14:paraId="50291BFA" w14:textId="77777777">
        <w:tblPrEx>
          <w:tblCellMar>
            <w:top w:w="0" w:type="dxa"/>
            <w:bottom w:w="0" w:type="dxa"/>
          </w:tblCellMar>
        </w:tblPrEx>
        <w:trPr>
          <w:cantSplit/>
          <w:trHeight w:val="850"/>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A7550A5" w14:textId="77777777" w:rsidR="00AB45E4" w:rsidRDefault="00CE07FE">
            <w:pPr>
              <w:keepLines/>
              <w:spacing w:after="60"/>
            </w:pPr>
            <w:r>
              <w:t>Support/resources to be provided</w:t>
            </w: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1A3B4DE" w14:textId="77777777" w:rsidR="00AB45E4" w:rsidRDefault="00CE07FE">
            <w:pPr>
              <w:keepLines/>
              <w:spacing w:after="60"/>
            </w:pPr>
            <w:r>
              <w:t>Monitoring arrangements</w:t>
            </w: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05E63D7" w14:textId="77777777" w:rsidR="00AB45E4" w:rsidRDefault="00CE07FE">
            <w:pPr>
              <w:keepLines/>
              <w:spacing w:after="60"/>
            </w:pPr>
            <w:r>
              <w:t>Review date</w:t>
            </w:r>
          </w:p>
        </w:tc>
      </w:tr>
      <w:tr w:rsidR="00AB45E4" w14:paraId="6F43A9FE" w14:textId="77777777">
        <w:tblPrEx>
          <w:tblCellMar>
            <w:top w:w="0" w:type="dxa"/>
            <w:bottom w:w="0" w:type="dxa"/>
          </w:tblCellMar>
        </w:tblPrEx>
        <w:trPr>
          <w:cantSplit/>
          <w:trHeight w:val="1701"/>
        </w:trPr>
        <w:tc>
          <w:tcPr>
            <w:tcW w:w="3662"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4231CBC" w14:textId="77777777" w:rsidR="00AB45E4" w:rsidRDefault="00AB45E4">
            <w:pPr>
              <w:rPr>
                <w:rFonts w:cs="Arial"/>
                <w:szCs w:val="20"/>
              </w:rPr>
            </w:pPr>
          </w:p>
        </w:tc>
        <w:tc>
          <w:tcPr>
            <w:tcW w:w="3130"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62124D1C" w14:textId="77777777" w:rsidR="00AB45E4" w:rsidRDefault="00AB45E4">
            <w:pPr>
              <w:rPr>
                <w:rFonts w:cs="Arial"/>
                <w:szCs w:val="20"/>
              </w:rPr>
            </w:pPr>
          </w:p>
        </w:tc>
        <w:tc>
          <w:tcPr>
            <w:tcW w:w="2944"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3250BD4" w14:textId="77777777" w:rsidR="00AB45E4" w:rsidRDefault="00AB45E4">
            <w:pPr>
              <w:rPr>
                <w:rFonts w:cs="Arial"/>
                <w:szCs w:val="20"/>
              </w:rPr>
            </w:pPr>
          </w:p>
        </w:tc>
      </w:tr>
    </w:tbl>
    <w:p w14:paraId="11DD575C" w14:textId="77777777" w:rsidR="00AB45E4" w:rsidRDefault="00AB45E4">
      <w:pPr>
        <w:pStyle w:val="6Abstract"/>
        <w:rPr>
          <w:sz w:val="20"/>
          <w:szCs w:val="20"/>
          <w:lang w:val="en-GB"/>
        </w:rPr>
      </w:pPr>
    </w:p>
    <w:p w14:paraId="736D0F0E" w14:textId="77777777" w:rsidR="00AB45E4" w:rsidRDefault="00CE07FE">
      <w:pPr>
        <w:spacing w:before="240"/>
      </w:pPr>
      <w:r>
        <w:rPr>
          <w:b/>
          <w:color w:val="12263F"/>
          <w:sz w:val="24"/>
        </w:rPr>
        <w:t>Other support provided</w:t>
      </w:r>
    </w:p>
    <w:tbl>
      <w:tblPr>
        <w:tblW w:w="9874" w:type="dxa"/>
        <w:tblCellMar>
          <w:left w:w="10" w:type="dxa"/>
          <w:right w:w="10" w:type="dxa"/>
        </w:tblCellMar>
        <w:tblLook w:val="0000" w:firstRow="0" w:lastRow="0" w:firstColumn="0" w:lastColumn="0" w:noHBand="0" w:noVBand="0"/>
      </w:tblPr>
      <w:tblGrid>
        <w:gridCol w:w="5228"/>
        <w:gridCol w:w="4646"/>
      </w:tblGrid>
      <w:tr w:rsidR="00AB45E4" w14:paraId="475F6B2A" w14:textId="77777777">
        <w:tblPrEx>
          <w:tblCellMar>
            <w:top w:w="0" w:type="dxa"/>
            <w:bottom w:w="0" w:type="dxa"/>
          </w:tblCellMar>
        </w:tblPrEx>
        <w:trPr>
          <w:cantSplit/>
          <w:trHeight w:val="576"/>
          <w:tblHeader/>
        </w:trPr>
        <w:tc>
          <w:tcPr>
            <w:tcW w:w="5228"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39E7737D" w14:textId="77777777" w:rsidR="00AB45E4" w:rsidRDefault="00CE07FE">
            <w:pPr>
              <w:rPr>
                <w:rFonts w:cs="Arial"/>
                <w:caps/>
                <w:szCs w:val="20"/>
              </w:rPr>
            </w:pPr>
            <w:r>
              <w:rPr>
                <w:rFonts w:cs="Arial"/>
                <w:caps/>
                <w:szCs w:val="20"/>
              </w:rPr>
              <w:t>Mentor/coach allocated</w:t>
            </w:r>
          </w:p>
        </w:tc>
        <w:tc>
          <w:tcPr>
            <w:tcW w:w="4646"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7F464F5C" w14:textId="77777777" w:rsidR="00AB45E4" w:rsidRDefault="00CE07FE">
            <w:pPr>
              <w:rPr>
                <w:rFonts w:cs="Arial"/>
                <w:caps/>
                <w:szCs w:val="20"/>
              </w:rPr>
            </w:pPr>
            <w:r>
              <w:rPr>
                <w:rFonts w:cs="Arial"/>
                <w:caps/>
                <w:szCs w:val="20"/>
              </w:rPr>
              <w:t>Yes/No (If yes give name)</w:t>
            </w:r>
          </w:p>
        </w:tc>
      </w:tr>
      <w:tr w:rsidR="00AB45E4" w14:paraId="685F7F42" w14:textId="77777777">
        <w:tblPrEx>
          <w:tblCellMar>
            <w:top w:w="0" w:type="dxa"/>
            <w:bottom w:w="0" w:type="dxa"/>
          </w:tblCellMar>
        </w:tblPrEx>
        <w:trPr>
          <w:cantSplit/>
          <w:trHeight w:val="576"/>
        </w:trPr>
        <w:tc>
          <w:tcPr>
            <w:tcW w:w="522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29F1615" w14:textId="77777777" w:rsidR="00AB45E4" w:rsidRDefault="00CE07FE">
            <w:pPr>
              <w:keepLines/>
              <w:spacing w:after="60"/>
            </w:pPr>
            <w:r>
              <w:t>Counselling to be provided</w:t>
            </w:r>
          </w:p>
        </w:tc>
        <w:tc>
          <w:tcPr>
            <w:tcW w:w="4646"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C1EE5B8" w14:textId="77777777" w:rsidR="00AB45E4" w:rsidRDefault="00CE07FE">
            <w:pPr>
              <w:keepLines/>
              <w:spacing w:after="60"/>
            </w:pPr>
            <w:r>
              <w:t>Yes/No</w:t>
            </w:r>
          </w:p>
        </w:tc>
      </w:tr>
      <w:tr w:rsidR="00AB45E4" w14:paraId="0371D5B3" w14:textId="77777777">
        <w:tblPrEx>
          <w:tblCellMar>
            <w:top w:w="0" w:type="dxa"/>
            <w:bottom w:w="0" w:type="dxa"/>
          </w:tblCellMar>
        </w:tblPrEx>
        <w:trPr>
          <w:cantSplit/>
          <w:trHeight w:val="576"/>
        </w:trPr>
        <w:tc>
          <w:tcPr>
            <w:tcW w:w="522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2A208C1" w14:textId="77777777" w:rsidR="00AB45E4" w:rsidRDefault="00CE07FE">
            <w:pPr>
              <w:keepLines/>
              <w:spacing w:after="60"/>
            </w:pPr>
            <w:r>
              <w:t>Occupational health referral to be made</w:t>
            </w:r>
          </w:p>
        </w:tc>
        <w:tc>
          <w:tcPr>
            <w:tcW w:w="4646"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0D369EAC" w14:textId="77777777" w:rsidR="00AB45E4" w:rsidRDefault="00CE07FE">
            <w:pPr>
              <w:keepLines/>
              <w:spacing w:after="60"/>
            </w:pPr>
            <w:r>
              <w:t>Yes/No</w:t>
            </w:r>
          </w:p>
        </w:tc>
      </w:tr>
      <w:tr w:rsidR="00AB45E4" w14:paraId="3A49DFA0" w14:textId="77777777">
        <w:tblPrEx>
          <w:tblCellMar>
            <w:top w:w="0" w:type="dxa"/>
            <w:bottom w:w="0" w:type="dxa"/>
          </w:tblCellMar>
        </w:tblPrEx>
        <w:trPr>
          <w:cantSplit/>
          <w:trHeight w:val="576"/>
        </w:trPr>
        <w:tc>
          <w:tcPr>
            <w:tcW w:w="522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411FE3C2" w14:textId="77777777" w:rsidR="00AB45E4" w:rsidRDefault="00CE07FE">
            <w:pPr>
              <w:keepLines/>
              <w:spacing w:after="60"/>
            </w:pPr>
            <w:r>
              <w:t>[Insert any other support provided]</w:t>
            </w:r>
          </w:p>
        </w:tc>
        <w:tc>
          <w:tcPr>
            <w:tcW w:w="4646"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7F7157FF" w14:textId="77777777" w:rsidR="00AB45E4" w:rsidRDefault="00AB45E4">
            <w:pPr>
              <w:keepLines/>
              <w:spacing w:after="60"/>
            </w:pPr>
          </w:p>
        </w:tc>
      </w:tr>
      <w:tr w:rsidR="00AB45E4" w14:paraId="7AE35BFF" w14:textId="77777777">
        <w:tblPrEx>
          <w:tblCellMar>
            <w:top w:w="0" w:type="dxa"/>
            <w:bottom w:w="0" w:type="dxa"/>
          </w:tblCellMar>
        </w:tblPrEx>
        <w:trPr>
          <w:cantSplit/>
          <w:trHeight w:val="576"/>
        </w:trPr>
        <w:tc>
          <w:tcPr>
            <w:tcW w:w="5228"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3F14DF0F" w14:textId="77777777" w:rsidR="00AB45E4" w:rsidRDefault="00CE07FE">
            <w:pPr>
              <w:keepLines/>
              <w:spacing w:after="60"/>
            </w:pPr>
            <w:r>
              <w:t>Formal review date</w:t>
            </w:r>
          </w:p>
        </w:tc>
        <w:tc>
          <w:tcPr>
            <w:tcW w:w="4646"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EBE0570" w14:textId="77777777" w:rsidR="00AB45E4" w:rsidRDefault="00AB45E4">
            <w:pPr>
              <w:keepLines/>
              <w:spacing w:after="60"/>
            </w:pPr>
          </w:p>
        </w:tc>
      </w:tr>
    </w:tbl>
    <w:p w14:paraId="7F4D3C52" w14:textId="77777777" w:rsidR="00AB45E4" w:rsidRDefault="00AB45E4"/>
    <w:tbl>
      <w:tblPr>
        <w:tblW w:w="9736" w:type="dxa"/>
        <w:tblCellMar>
          <w:left w:w="10" w:type="dxa"/>
          <w:right w:w="10" w:type="dxa"/>
        </w:tblCellMar>
        <w:tblLook w:val="0000" w:firstRow="0" w:lastRow="0" w:firstColumn="0" w:lastColumn="0" w:noHBand="0" w:noVBand="0"/>
      </w:tblPr>
      <w:tblGrid>
        <w:gridCol w:w="3766"/>
        <w:gridCol w:w="3875"/>
        <w:gridCol w:w="2095"/>
      </w:tblGrid>
      <w:tr w:rsidR="00AB45E4" w14:paraId="185F6668" w14:textId="77777777">
        <w:tblPrEx>
          <w:tblCellMar>
            <w:top w:w="0" w:type="dxa"/>
            <w:bottom w:w="0" w:type="dxa"/>
          </w:tblCellMar>
        </w:tblPrEx>
        <w:trPr>
          <w:cantSplit/>
          <w:trHeight w:val="567"/>
          <w:tblHeader/>
        </w:trPr>
        <w:tc>
          <w:tcPr>
            <w:tcW w:w="3766"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51100B33" w14:textId="77777777" w:rsidR="00AB45E4" w:rsidRDefault="00CE07FE">
            <w:pPr>
              <w:rPr>
                <w:rFonts w:cs="Arial"/>
                <w:caps/>
                <w:szCs w:val="20"/>
              </w:rPr>
            </w:pPr>
            <w:r>
              <w:rPr>
                <w:rFonts w:cs="Arial"/>
                <w:caps/>
                <w:szCs w:val="20"/>
              </w:rPr>
              <w:t>Signed by member of staff</w:t>
            </w:r>
          </w:p>
        </w:tc>
        <w:tc>
          <w:tcPr>
            <w:tcW w:w="3875"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6F8A95A4" w14:textId="77777777" w:rsidR="00AB45E4" w:rsidRDefault="00CE07FE">
            <w:pPr>
              <w:rPr>
                <w:rFonts w:cs="Arial"/>
                <w:caps/>
                <w:szCs w:val="20"/>
              </w:rPr>
            </w:pPr>
            <w:r>
              <w:rPr>
                <w:rFonts w:cs="Arial"/>
                <w:caps/>
                <w:szCs w:val="20"/>
              </w:rPr>
              <w:t>Signed by appraiser</w:t>
            </w:r>
          </w:p>
        </w:tc>
        <w:tc>
          <w:tcPr>
            <w:tcW w:w="2095" w:type="dxa"/>
            <w:tcBorders>
              <w:top w:val="single" w:sz="4" w:space="0" w:color="B9B9B9"/>
              <w:left w:val="single" w:sz="4" w:space="0" w:color="B9B9B9"/>
              <w:bottom w:val="single" w:sz="4" w:space="0" w:color="B9B9B9"/>
              <w:right w:val="single" w:sz="4" w:space="0" w:color="B9B9B9"/>
            </w:tcBorders>
            <w:shd w:val="clear" w:color="auto" w:fill="D8DFDE"/>
            <w:tcMar>
              <w:top w:w="57" w:type="dxa"/>
              <w:left w:w="108" w:type="dxa"/>
              <w:bottom w:w="57" w:type="dxa"/>
              <w:right w:w="108" w:type="dxa"/>
            </w:tcMar>
          </w:tcPr>
          <w:p w14:paraId="329BA6EB" w14:textId="77777777" w:rsidR="00AB45E4" w:rsidRDefault="00CE07FE">
            <w:pPr>
              <w:rPr>
                <w:rFonts w:cs="Arial"/>
                <w:caps/>
                <w:szCs w:val="20"/>
              </w:rPr>
            </w:pPr>
            <w:r>
              <w:rPr>
                <w:rFonts w:cs="Arial"/>
                <w:caps/>
                <w:szCs w:val="20"/>
              </w:rPr>
              <w:t>Date</w:t>
            </w:r>
          </w:p>
        </w:tc>
      </w:tr>
      <w:tr w:rsidR="00AB45E4" w14:paraId="73908734" w14:textId="77777777">
        <w:tblPrEx>
          <w:tblCellMar>
            <w:top w:w="0" w:type="dxa"/>
            <w:bottom w:w="0" w:type="dxa"/>
          </w:tblCellMar>
        </w:tblPrEx>
        <w:trPr>
          <w:cantSplit/>
          <w:trHeight w:val="850"/>
        </w:trPr>
        <w:tc>
          <w:tcPr>
            <w:tcW w:w="3766"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EE85FE0" w14:textId="77777777" w:rsidR="00AB45E4" w:rsidRDefault="00AB45E4">
            <w:pPr>
              <w:rPr>
                <w:rFonts w:cs="Arial"/>
                <w:szCs w:val="20"/>
              </w:rPr>
            </w:pPr>
          </w:p>
        </w:tc>
        <w:tc>
          <w:tcPr>
            <w:tcW w:w="3875"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53B2E1C6" w14:textId="77777777" w:rsidR="00AB45E4" w:rsidRDefault="00AB45E4">
            <w:pPr>
              <w:rPr>
                <w:rFonts w:cs="Arial"/>
                <w:szCs w:val="20"/>
              </w:rPr>
            </w:pPr>
          </w:p>
        </w:tc>
        <w:tc>
          <w:tcPr>
            <w:tcW w:w="2095" w:type="dxa"/>
            <w:tcBorders>
              <w:top w:val="single" w:sz="4" w:space="0" w:color="B9B9B9"/>
              <w:left w:val="single" w:sz="4" w:space="0" w:color="B9B9B9"/>
              <w:bottom w:val="single" w:sz="4" w:space="0" w:color="B9B9B9"/>
              <w:right w:val="single" w:sz="4" w:space="0" w:color="B9B9B9"/>
            </w:tcBorders>
            <w:tcMar>
              <w:top w:w="57" w:type="dxa"/>
              <w:left w:w="108" w:type="dxa"/>
              <w:bottom w:w="57" w:type="dxa"/>
              <w:right w:w="108" w:type="dxa"/>
            </w:tcMar>
          </w:tcPr>
          <w:p w14:paraId="108C5B20" w14:textId="77777777" w:rsidR="00AB45E4" w:rsidRDefault="00AB45E4">
            <w:pPr>
              <w:rPr>
                <w:rFonts w:cs="Arial"/>
                <w:szCs w:val="20"/>
              </w:rPr>
            </w:pPr>
          </w:p>
        </w:tc>
      </w:tr>
    </w:tbl>
    <w:p w14:paraId="0A9FD905" w14:textId="77777777" w:rsidR="00AB45E4" w:rsidRDefault="00AB45E4">
      <w:pPr>
        <w:spacing w:after="0"/>
        <w:rPr>
          <w:rFonts w:cs="Arial"/>
          <w:b/>
          <w:sz w:val="24"/>
        </w:rPr>
      </w:pPr>
    </w:p>
    <w:p w14:paraId="3155437F" w14:textId="77777777" w:rsidR="00AB45E4" w:rsidRDefault="00AB45E4">
      <w:pPr>
        <w:pStyle w:val="6Abstract"/>
        <w:rPr>
          <w:sz w:val="20"/>
          <w:szCs w:val="20"/>
          <w:lang w:val="en-GB"/>
        </w:rPr>
      </w:pPr>
    </w:p>
    <w:p w14:paraId="2F0B3F32" w14:textId="77777777" w:rsidR="00AB45E4" w:rsidRDefault="00AB45E4">
      <w:pPr>
        <w:pStyle w:val="6Abstract"/>
        <w:rPr>
          <w:sz w:val="20"/>
          <w:szCs w:val="20"/>
          <w:lang w:val="en-GB"/>
        </w:rPr>
      </w:pPr>
    </w:p>
    <w:tbl>
      <w:tblPr>
        <w:tblW w:w="9317" w:type="dxa"/>
        <w:tblCellMar>
          <w:left w:w="10" w:type="dxa"/>
          <w:right w:w="10" w:type="dxa"/>
        </w:tblCellMar>
        <w:tblLook w:val="0000" w:firstRow="0" w:lastRow="0" w:firstColumn="0" w:lastColumn="0" w:noHBand="0" w:noVBand="0"/>
      </w:tblPr>
      <w:tblGrid>
        <w:gridCol w:w="3647"/>
        <w:gridCol w:w="5670"/>
      </w:tblGrid>
      <w:tr w:rsidR="00AB45E4" w14:paraId="45B4A950" w14:textId="77777777">
        <w:tblPrEx>
          <w:tblCellMar>
            <w:top w:w="0" w:type="dxa"/>
            <w:bottom w:w="0" w:type="dxa"/>
          </w:tblCellMar>
        </w:tblPrEx>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D8435C2" w14:textId="77777777" w:rsidR="00AB45E4" w:rsidRDefault="00CE07FE">
            <w:pPr>
              <w:spacing w:after="0" w:line="251" w:lineRule="auto"/>
            </w:pPr>
            <w:r>
              <w:rPr>
                <w:b/>
                <w:lang w:eastAsia="en-GB"/>
              </w:rPr>
              <w:t xml:space="preserve">Document Title: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40F3017" w14:textId="77777777" w:rsidR="00AB45E4" w:rsidRDefault="00CE07FE">
            <w:pPr>
              <w:spacing w:after="0" w:line="251" w:lineRule="auto"/>
            </w:pPr>
            <w:r>
              <w:rPr>
                <w:b/>
                <w:lang w:eastAsia="en-GB"/>
              </w:rPr>
              <w:t xml:space="preserve">Appraisal Policy </w:t>
            </w:r>
            <w:r>
              <w:rPr>
                <w:lang w:eastAsia="en-GB"/>
              </w:rPr>
              <w:t xml:space="preserve"> </w:t>
            </w:r>
          </w:p>
        </w:tc>
      </w:tr>
      <w:tr w:rsidR="00AB45E4" w14:paraId="1BD3057B" w14:textId="77777777">
        <w:tblPrEx>
          <w:tblCellMar>
            <w:top w:w="0" w:type="dxa"/>
            <w:bottom w:w="0" w:type="dxa"/>
          </w:tblCellMar>
        </w:tblPrEx>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ED03C6D" w14:textId="77777777" w:rsidR="00AB45E4" w:rsidRDefault="00CE07FE">
            <w:pPr>
              <w:spacing w:after="0" w:line="251" w:lineRule="auto"/>
            </w:pPr>
            <w:r>
              <w:rPr>
                <w:b/>
                <w:lang w:eastAsia="en-GB"/>
              </w:rPr>
              <w:t xml:space="preserve">Version: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5AAFDAF" w14:textId="77777777" w:rsidR="00AB45E4" w:rsidRDefault="00CE07FE">
            <w:pPr>
              <w:spacing w:after="0" w:line="251" w:lineRule="auto"/>
              <w:rPr>
                <w:lang w:eastAsia="en-GB"/>
              </w:rPr>
            </w:pPr>
            <w:r>
              <w:rPr>
                <w:lang w:eastAsia="en-GB"/>
              </w:rPr>
              <w:t xml:space="preserve"> 2</w:t>
            </w:r>
          </w:p>
        </w:tc>
      </w:tr>
      <w:tr w:rsidR="00AB45E4" w14:paraId="48EEE234" w14:textId="77777777">
        <w:tblPrEx>
          <w:tblCellMar>
            <w:top w:w="0" w:type="dxa"/>
            <w:bottom w:w="0" w:type="dxa"/>
          </w:tblCellMar>
        </w:tblPrEx>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9861089" w14:textId="77777777" w:rsidR="00AB45E4" w:rsidRDefault="00CE07FE">
            <w:pPr>
              <w:spacing w:after="0" w:line="251" w:lineRule="auto"/>
            </w:pPr>
            <w:r>
              <w:rPr>
                <w:b/>
                <w:lang w:eastAsia="en-GB"/>
              </w:rPr>
              <w:t xml:space="preserve">Prepared by: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7350ADE" w14:textId="77777777" w:rsidR="00AB45E4" w:rsidRDefault="00CE07FE">
            <w:pPr>
              <w:spacing w:after="0" w:line="251" w:lineRule="auto"/>
              <w:rPr>
                <w:lang w:eastAsia="en-GB"/>
              </w:rPr>
            </w:pPr>
            <w:r>
              <w:rPr>
                <w:lang w:eastAsia="en-GB"/>
              </w:rPr>
              <w:t xml:space="preserve"> Sophie Chidwick</w:t>
            </w:r>
          </w:p>
        </w:tc>
      </w:tr>
      <w:tr w:rsidR="00AB45E4" w14:paraId="06AB0B2E" w14:textId="77777777">
        <w:tblPrEx>
          <w:tblCellMar>
            <w:top w:w="0" w:type="dxa"/>
            <w:bottom w:w="0" w:type="dxa"/>
          </w:tblCellMar>
        </w:tblPrEx>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F68D2F7" w14:textId="77777777" w:rsidR="00AB45E4" w:rsidRDefault="00CE07FE">
            <w:pPr>
              <w:spacing w:after="0" w:line="251" w:lineRule="auto"/>
            </w:pPr>
            <w:r>
              <w:rPr>
                <w:b/>
                <w:lang w:eastAsia="en-GB"/>
              </w:rPr>
              <w:t xml:space="preserve">Governing Body Acceptance Date: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371FAB0" w14:textId="77777777" w:rsidR="00AB45E4" w:rsidRDefault="00CE07FE">
            <w:pPr>
              <w:spacing w:after="0" w:line="251" w:lineRule="auto"/>
              <w:rPr>
                <w:lang w:eastAsia="en-GB"/>
              </w:rPr>
            </w:pPr>
            <w:r>
              <w:rPr>
                <w:lang w:eastAsia="en-GB"/>
              </w:rPr>
              <w:t xml:space="preserve"> </w:t>
            </w:r>
          </w:p>
        </w:tc>
      </w:tr>
      <w:tr w:rsidR="00AB45E4" w14:paraId="075A6CF2" w14:textId="77777777">
        <w:tblPrEx>
          <w:tblCellMar>
            <w:top w:w="0" w:type="dxa"/>
            <w:bottom w:w="0" w:type="dxa"/>
          </w:tblCellMar>
        </w:tblPrEx>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AD8A3FF" w14:textId="77777777" w:rsidR="00AB45E4" w:rsidRDefault="00CE07FE">
            <w:pPr>
              <w:spacing w:after="0" w:line="251" w:lineRule="auto"/>
            </w:pPr>
            <w:r>
              <w:rPr>
                <w:b/>
                <w:lang w:eastAsia="en-GB"/>
              </w:rPr>
              <w:t xml:space="preserve">Date for Next Review: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41867FF" w14:textId="77777777" w:rsidR="00AB45E4" w:rsidRDefault="00CE07FE">
            <w:pPr>
              <w:spacing w:after="0" w:line="251" w:lineRule="auto"/>
              <w:rPr>
                <w:lang w:eastAsia="en-GB"/>
              </w:rPr>
            </w:pPr>
            <w:r>
              <w:rPr>
                <w:lang w:eastAsia="en-GB"/>
              </w:rPr>
              <w:t xml:space="preserve">November 2026 </w:t>
            </w:r>
          </w:p>
        </w:tc>
      </w:tr>
      <w:tr w:rsidR="00AB45E4" w14:paraId="29222DA6" w14:textId="77777777">
        <w:tblPrEx>
          <w:tblCellMar>
            <w:top w:w="0" w:type="dxa"/>
            <w:bottom w:w="0" w:type="dxa"/>
          </w:tblCellMar>
        </w:tblPrEx>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3122215" w14:textId="77777777" w:rsidR="00AB45E4" w:rsidRDefault="00CE07FE">
            <w:pPr>
              <w:spacing w:after="0" w:line="251" w:lineRule="auto"/>
            </w:pPr>
            <w:r>
              <w:rPr>
                <w:b/>
                <w:lang w:eastAsia="en-G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9B252DF" w14:textId="161E6E16" w:rsidR="00AB45E4" w:rsidRDefault="00CE07FE">
            <w:pPr>
              <w:spacing w:after="0" w:line="251" w:lineRule="auto"/>
              <w:rPr>
                <w:lang w:eastAsia="en-GB"/>
              </w:rPr>
            </w:pPr>
            <w:r>
              <w:rPr>
                <w:lang w:eastAsia="en-GB"/>
              </w:rPr>
              <w:t xml:space="preserve"> </w:t>
            </w:r>
            <w:r w:rsidR="002C131F">
              <w:rPr>
                <w:lang w:eastAsia="en-GB"/>
              </w:rPr>
              <w:t xml:space="preserve">Yes </w:t>
            </w:r>
          </w:p>
        </w:tc>
      </w:tr>
    </w:tbl>
    <w:p w14:paraId="1F3DFDB7" w14:textId="77777777" w:rsidR="00AB45E4" w:rsidRDefault="00AB45E4">
      <w:pPr>
        <w:pStyle w:val="6Abstract"/>
        <w:rPr>
          <w:sz w:val="20"/>
          <w:szCs w:val="20"/>
          <w:lang w:val="en-GB"/>
        </w:rPr>
      </w:pPr>
    </w:p>
    <w:sectPr w:rsidR="00AB45E4">
      <w:headerReference w:type="default" r:id="rId22"/>
      <w:pgSz w:w="11900" w:h="16840"/>
      <w:pgMar w:top="1040" w:right="1077" w:bottom="2089" w:left="1077" w:header="615" w:footer="615"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0F3B" w14:textId="77777777" w:rsidR="00CE07FE" w:rsidRDefault="00CE07FE">
      <w:pPr>
        <w:spacing w:after="0"/>
      </w:pPr>
      <w:r>
        <w:separator/>
      </w:r>
    </w:p>
  </w:endnote>
  <w:endnote w:type="continuationSeparator" w:id="0">
    <w:p w14:paraId="1014369E" w14:textId="77777777" w:rsidR="00CE07FE" w:rsidRDefault="00CE0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41F4" w14:textId="77777777" w:rsidR="00CE07FE" w:rsidRDefault="00CE07FE">
      <w:pPr>
        <w:spacing w:after="0"/>
      </w:pPr>
      <w:r>
        <w:rPr>
          <w:color w:val="000000"/>
        </w:rPr>
        <w:separator/>
      </w:r>
    </w:p>
  </w:footnote>
  <w:footnote w:type="continuationSeparator" w:id="0">
    <w:p w14:paraId="47C13E7B" w14:textId="77777777" w:rsidR="00CE07FE" w:rsidRDefault="00CE07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76D4" w14:textId="77777777" w:rsidR="00CE07FE" w:rsidRDefault="00CE07FE"/>
  <w:p w14:paraId="50A07D4E" w14:textId="77777777" w:rsidR="00CE07FE" w:rsidRDefault="00CE07FE"/>
  <w:p w14:paraId="37F3EE75" w14:textId="77777777" w:rsidR="00CE07FE" w:rsidRDefault="00CE0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6D33"/>
    <w:multiLevelType w:val="multilevel"/>
    <w:tmpl w:val="06FAF0CE"/>
    <w:styleLink w:val="LFO1"/>
    <w:lvl w:ilvl="0">
      <w:numFmt w:val="bullet"/>
      <w:pStyle w:val="4Bulletedcopyblue"/>
      <w:lvlText w:val=""/>
      <w:lvlJc w:val="left"/>
      <w:pPr>
        <w:ind w:left="170" w:hanging="170"/>
      </w:pPr>
      <w:rPr>
        <w:rFonts w:ascii="Symbol" w:hAnsi="Symbol"/>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num w:numId="1" w16cid:durableId="134250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45E4"/>
    <w:rsid w:val="00120690"/>
    <w:rsid w:val="002C131F"/>
    <w:rsid w:val="003E3BF0"/>
    <w:rsid w:val="00AB45E4"/>
    <w:rsid w:val="00CE07FE"/>
    <w:rsid w:val="00CE5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F131"/>
  <w15:docId w15:val="{D46EFF07-4D33-4FF9-AA18-354BC526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eastAsia="MS Mincho" w:hAnsi="Arial"/>
      <w:kern w:val="0"/>
      <w:sz w:val="2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shd w:val="clear" w:color="auto" w:fill="FFFFFF"/>
      <w:textAlignment w:val="baseline"/>
    </w:pPr>
    <w:rPr>
      <w:rFonts w:eastAsia="Times New Roman" w:cs="Arial"/>
      <w:color w:val="808080"/>
      <w:sz w:val="16"/>
      <w:szCs w:val="16"/>
    </w:rPr>
  </w:style>
  <w:style w:type="character" w:customStyle="1" w:styleId="FooterChar">
    <w:name w:val="Footer Char"/>
    <w:basedOn w:val="DefaultParagraphFont"/>
    <w:rPr>
      <w:rFonts w:ascii="Arial" w:eastAsia="Times New Roman" w:hAnsi="Arial" w:cs="Arial"/>
      <w:color w:val="808080"/>
      <w:kern w:val="0"/>
      <w:sz w:val="16"/>
      <w:szCs w:val="16"/>
      <w:shd w:val="clear" w:color="auto" w:fill="FFFFFF"/>
      <w:lang w:val="en-US"/>
    </w:rPr>
  </w:style>
  <w:style w:type="character" w:styleId="Hyperlink">
    <w:name w:val="Hyperlink"/>
    <w:rPr>
      <w:color w:val="0072CC"/>
      <w:u w:val="single"/>
    </w:rPr>
  </w:style>
  <w:style w:type="paragraph" w:customStyle="1" w:styleId="1bodycopy10pt">
    <w:name w:val="1 body copy 10pt"/>
    <w:basedOn w:val="Normal"/>
  </w:style>
  <w:style w:type="paragraph" w:customStyle="1" w:styleId="4Bulletedcopyblue">
    <w:name w:val="4 Bulleted copy blue"/>
    <w:basedOn w:val="Normal"/>
    <w:pPr>
      <w:numPr>
        <w:numId w:val="1"/>
      </w:numPr>
    </w:pPr>
    <w:rPr>
      <w:rFonts w:cs="Arial"/>
      <w:szCs w:val="20"/>
    </w:rPr>
  </w:style>
  <w:style w:type="character" w:customStyle="1" w:styleId="1bodycopy10ptChar">
    <w:name w:val="1 body copy 10pt Char"/>
    <w:rPr>
      <w:rFonts w:ascii="Arial" w:eastAsia="MS Mincho" w:hAnsi="Arial" w:cs="Times New Roman"/>
      <w:kern w:val="0"/>
      <w:sz w:val="20"/>
      <w:lang w:val="en-US"/>
    </w:rPr>
  </w:style>
  <w:style w:type="paragraph" w:customStyle="1" w:styleId="6Abstract">
    <w:name w:val="6 Abstract"/>
    <w:pPr>
      <w:suppressAutoHyphens/>
      <w:spacing w:after="240" w:line="251" w:lineRule="auto"/>
    </w:pPr>
    <w:rPr>
      <w:rFonts w:ascii="Arial" w:eastAsia="MS Mincho" w:hAnsi="Arial"/>
      <w:kern w:val="0"/>
      <w:sz w:val="28"/>
      <w:szCs w:val="28"/>
      <w:lang w:val="en-US"/>
    </w:rPr>
  </w:style>
  <w:style w:type="paragraph" w:styleId="TOCHeading">
    <w:name w:val="TOC Heading"/>
    <w:basedOn w:val="Heading1"/>
    <w:next w:val="Normal"/>
    <w:pPr>
      <w:spacing w:before="240" w:after="0" w:line="251" w:lineRule="auto"/>
    </w:pPr>
    <w:rPr>
      <w:rFonts w:ascii="Calibri Light" w:hAnsi="Calibri Light"/>
      <w:color w:val="0D1C2F"/>
      <w:sz w:val="32"/>
      <w:szCs w:val="32"/>
    </w:rPr>
  </w:style>
  <w:style w:type="paragraph" w:styleId="TOC1">
    <w:name w:val="toc 1"/>
    <w:basedOn w:val="Normal"/>
    <w:next w:val="Normal"/>
    <w:autoRedefine/>
    <w:pPr>
      <w:tabs>
        <w:tab w:val="right" w:leader="dot" w:pos="9736"/>
      </w:tabs>
    </w:pPr>
  </w:style>
  <w:style w:type="paragraph" w:styleId="TOC3">
    <w:name w:val="toc 3"/>
    <w:basedOn w:val="Normal"/>
    <w:next w:val="Normal"/>
    <w:autoRedefine/>
    <w:pPr>
      <w:spacing w:after="100"/>
      <w:ind w:left="40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MS Mincho" w:hAnsi="Arial"/>
      <w:kern w:val="0"/>
      <w:sz w:val="20"/>
      <w:lang w:val="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_Toc176420534" TargetMode="External"/><Relationship Id="rId13" Type="http://schemas.openxmlformats.org/officeDocument/2006/relationships/hyperlink" Target="#_Toc176420539" TargetMode="External"/><Relationship Id="rId18" Type="http://schemas.openxmlformats.org/officeDocument/2006/relationships/hyperlink" Target="#_Toc176420544" TargetMode="External"/><Relationship Id="rId3" Type="http://schemas.openxmlformats.org/officeDocument/2006/relationships/settings" Target="settings.xml"/><Relationship Id="rId21" Type="http://schemas.openxmlformats.org/officeDocument/2006/relationships/hyperlink" Target="http://www.legislation.gov.uk/ukpga/2010/15/contents?" TargetMode="External"/><Relationship Id="rId7" Type="http://schemas.openxmlformats.org/officeDocument/2006/relationships/image" Target="media/image1.png"/><Relationship Id="rId12" Type="http://schemas.openxmlformats.org/officeDocument/2006/relationships/hyperlink" Target="#_Toc176420538" TargetMode="External"/><Relationship Id="rId17" Type="http://schemas.openxmlformats.org/officeDocument/2006/relationships/hyperlink" Target="#_Toc176420543" TargetMode="External"/><Relationship Id="rId2" Type="http://schemas.openxmlformats.org/officeDocument/2006/relationships/styles" Target="styles.xml"/><Relationship Id="rId16" Type="http://schemas.openxmlformats.org/officeDocument/2006/relationships/hyperlink" Target="#_Toc176420542" TargetMode="External"/><Relationship Id="rId20" Type="http://schemas.openxmlformats.org/officeDocument/2006/relationships/hyperlink" Target="http://www.acas.org.uk/media/pdf/f/m/Acas-Code-of-Practice-1-on-disciplinary-and-grievance-procedur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764205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_Toc176420541" TargetMode="External"/><Relationship Id="rId23" Type="http://schemas.openxmlformats.org/officeDocument/2006/relationships/fontTable" Target="fontTable.xml"/><Relationship Id="rId10" Type="http://schemas.openxmlformats.org/officeDocument/2006/relationships/hyperlink" Target="#_Toc176420536" TargetMode="External"/><Relationship Id="rId19" Type="http://schemas.openxmlformats.org/officeDocument/2006/relationships/hyperlink" Target="https://www.gov.uk/government/publications/teacher-appraisal-and-capability-model-policy" TargetMode="External"/><Relationship Id="rId4" Type="http://schemas.openxmlformats.org/officeDocument/2006/relationships/webSettings" Target="webSettings.xml"/><Relationship Id="rId9" Type="http://schemas.openxmlformats.org/officeDocument/2006/relationships/hyperlink" Target="#_Toc176420535" TargetMode="External"/><Relationship Id="rId14" Type="http://schemas.openxmlformats.org/officeDocument/2006/relationships/hyperlink" Target="#_Toc176420540"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Emily Addington</cp:lastModifiedBy>
  <cp:revision>4</cp:revision>
  <dcterms:created xsi:type="dcterms:W3CDTF">2026-03-16T13:50:00Z</dcterms:created>
  <dcterms:modified xsi:type="dcterms:W3CDTF">2026-03-16T13:51:00Z</dcterms:modified>
</cp:coreProperties>
</file>