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581CF" w14:textId="77777777" w:rsidR="00A72519" w:rsidRPr="00FB3EA0" w:rsidRDefault="00A72519" w:rsidP="00A72519">
      <w:pPr>
        <w:pStyle w:val="TOCHeading"/>
        <w:spacing w:before="0" w:after="120"/>
        <w:jc w:val="center"/>
        <w:rPr>
          <w:rFonts w:cs="Arial"/>
          <w:b/>
          <w:sz w:val="28"/>
          <w:szCs w:val="28"/>
        </w:rPr>
      </w:pPr>
    </w:p>
    <w:p w14:paraId="1A01BF6A" w14:textId="77777777" w:rsidR="00A72519" w:rsidRPr="00FB3EA0" w:rsidRDefault="00A72519" w:rsidP="00A72519">
      <w:pPr>
        <w:pStyle w:val="TOCHeading"/>
        <w:spacing w:before="0" w:after="120"/>
        <w:jc w:val="center"/>
        <w:rPr>
          <w:rFonts w:cs="Arial"/>
          <w:b/>
          <w:sz w:val="28"/>
          <w:szCs w:val="28"/>
        </w:rPr>
      </w:pPr>
    </w:p>
    <w:p w14:paraId="5018F77C" w14:textId="77777777" w:rsidR="00A72519" w:rsidRPr="00FB3EA0" w:rsidRDefault="00A72519" w:rsidP="00A72519">
      <w:pPr>
        <w:pStyle w:val="TOCHeading"/>
        <w:spacing w:before="0" w:after="120"/>
        <w:jc w:val="center"/>
      </w:pPr>
      <w:r w:rsidRPr="00FB3EA0">
        <w:rPr>
          <w:noProof/>
        </w:rPr>
        <w:drawing>
          <wp:inline distT="0" distB="0" distL="0" distR="0" wp14:anchorId="54D5AA12" wp14:editId="23EA696E">
            <wp:extent cx="3718563" cy="1859276"/>
            <wp:effectExtent l="0" t="0" r="0" b="7624"/>
            <wp:docPr id="1614459821" name="Picture 1" descr="A blue text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718563" cy="1859276"/>
                    </a:xfrm>
                    <a:prstGeom prst="rect">
                      <a:avLst/>
                    </a:prstGeom>
                    <a:noFill/>
                    <a:ln>
                      <a:noFill/>
                      <a:prstDash/>
                    </a:ln>
                  </pic:spPr>
                </pic:pic>
              </a:graphicData>
            </a:graphic>
          </wp:inline>
        </w:drawing>
      </w:r>
    </w:p>
    <w:p w14:paraId="68DB2FCE" w14:textId="77777777" w:rsidR="00A72519" w:rsidRPr="00FB3EA0" w:rsidRDefault="00A72519" w:rsidP="00A72519">
      <w:pPr>
        <w:rPr>
          <w:rFonts w:asciiTheme="majorHAnsi" w:hAnsiTheme="majorHAnsi"/>
        </w:rPr>
      </w:pPr>
    </w:p>
    <w:p w14:paraId="3BC5D0EC" w14:textId="77777777" w:rsidR="00A72519" w:rsidRPr="00FB3EA0" w:rsidRDefault="00A72519" w:rsidP="00A72519">
      <w:pPr>
        <w:rPr>
          <w:rFonts w:asciiTheme="majorHAnsi" w:hAnsiTheme="majorHAnsi"/>
        </w:rPr>
      </w:pPr>
    </w:p>
    <w:p w14:paraId="2EECB478" w14:textId="77777777" w:rsidR="00A72519" w:rsidRPr="00FB3EA0" w:rsidRDefault="00A72519" w:rsidP="00A72519">
      <w:pPr>
        <w:rPr>
          <w:rFonts w:asciiTheme="majorHAnsi" w:hAnsiTheme="majorHAnsi"/>
        </w:rPr>
      </w:pPr>
      <w:r w:rsidRPr="00FB3EA0">
        <w:rPr>
          <w:rFonts w:asciiTheme="majorHAnsi" w:hAnsiTheme="majorHAnsi"/>
          <w:noProof/>
        </w:rPr>
        <mc:AlternateContent>
          <mc:Choice Requires="wps">
            <w:drawing>
              <wp:anchor distT="0" distB="0" distL="114300" distR="114300" simplePos="0" relativeHeight="251661312" behindDoc="0" locked="0" layoutInCell="1" allowOverlap="1" wp14:anchorId="72DB6239" wp14:editId="65540690">
                <wp:simplePos x="0" y="0"/>
                <wp:positionH relativeFrom="column">
                  <wp:posOffset>123828</wp:posOffset>
                </wp:positionH>
                <wp:positionV relativeFrom="paragraph">
                  <wp:posOffset>53336</wp:posOffset>
                </wp:positionV>
                <wp:extent cx="5638793" cy="0"/>
                <wp:effectExtent l="0" t="19050" r="19057" b="19050"/>
                <wp:wrapNone/>
                <wp:docPr id="1485177575"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1581ABA8"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49D4250D" w14:textId="77777777" w:rsidR="00A72519" w:rsidRPr="00FB3EA0" w:rsidRDefault="00A72519" w:rsidP="00A72519">
      <w:pPr>
        <w:rPr>
          <w:rFonts w:asciiTheme="majorHAnsi" w:hAnsiTheme="majorHAnsi"/>
        </w:rPr>
      </w:pPr>
    </w:p>
    <w:p w14:paraId="6A9E4C2C" w14:textId="0715872F" w:rsidR="00A72519" w:rsidRPr="00FB3EA0" w:rsidRDefault="00A72519" w:rsidP="00A72519">
      <w:pPr>
        <w:jc w:val="center"/>
        <w:rPr>
          <w:rFonts w:asciiTheme="majorHAnsi" w:hAnsiTheme="majorHAnsi"/>
          <w:b/>
          <w:color w:val="0070C0"/>
          <w:sz w:val="96"/>
          <w:szCs w:val="96"/>
        </w:rPr>
      </w:pPr>
      <w:r w:rsidRPr="00FB3EA0">
        <w:rPr>
          <w:rFonts w:asciiTheme="majorHAnsi" w:hAnsiTheme="majorHAnsi"/>
          <w:b/>
          <w:color w:val="0070C0"/>
          <w:sz w:val="96"/>
          <w:szCs w:val="96"/>
        </w:rPr>
        <w:t>E</w:t>
      </w:r>
      <w:r w:rsidR="00160D61">
        <w:rPr>
          <w:rFonts w:asciiTheme="majorHAnsi" w:hAnsiTheme="majorHAnsi"/>
          <w:b/>
          <w:color w:val="0070C0"/>
          <w:sz w:val="96"/>
          <w:szCs w:val="96"/>
        </w:rPr>
        <w:t>CT</w:t>
      </w:r>
      <w:r w:rsidRPr="00FB3EA0">
        <w:rPr>
          <w:rFonts w:asciiTheme="majorHAnsi" w:hAnsiTheme="majorHAnsi"/>
          <w:b/>
          <w:color w:val="0070C0"/>
          <w:sz w:val="96"/>
          <w:szCs w:val="96"/>
        </w:rPr>
        <w:t xml:space="preserve"> Policy</w:t>
      </w:r>
    </w:p>
    <w:p w14:paraId="55DD15C4" w14:textId="77777777" w:rsidR="00A72519" w:rsidRPr="00FB3EA0" w:rsidRDefault="00A72519" w:rsidP="00A72519">
      <w:pPr>
        <w:jc w:val="center"/>
        <w:rPr>
          <w:rFonts w:asciiTheme="majorHAnsi" w:hAnsiTheme="majorHAnsi"/>
        </w:rPr>
      </w:pPr>
      <w:r w:rsidRPr="00FB3EA0">
        <w:rPr>
          <w:rFonts w:asciiTheme="majorHAnsi" w:hAnsiTheme="majorHAnsi"/>
          <w:noProof/>
        </w:rPr>
        <mc:AlternateContent>
          <mc:Choice Requires="wps">
            <w:drawing>
              <wp:anchor distT="0" distB="0" distL="114300" distR="114300" simplePos="0" relativeHeight="251662336" behindDoc="0" locked="0" layoutInCell="1" allowOverlap="1" wp14:anchorId="638CA4D7" wp14:editId="259CC6D7">
                <wp:simplePos x="0" y="0"/>
                <wp:positionH relativeFrom="column">
                  <wp:posOffset>123828</wp:posOffset>
                </wp:positionH>
                <wp:positionV relativeFrom="paragraph">
                  <wp:posOffset>19046</wp:posOffset>
                </wp:positionV>
                <wp:extent cx="5638793" cy="0"/>
                <wp:effectExtent l="0" t="19050" r="19057" b="19050"/>
                <wp:wrapNone/>
                <wp:docPr id="2088839912"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103A4135" id="Straight Connector 2" o:spid="_x0000_s1026" type="#_x0000_t32" style="position:absolute;margin-left:9.75pt;margin-top:1.5pt;width:444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1D98DB9E" w14:textId="77777777" w:rsidR="00A72519" w:rsidRPr="00FB3EA0" w:rsidRDefault="00A72519" w:rsidP="00A72519">
      <w:pPr>
        <w:jc w:val="center"/>
        <w:rPr>
          <w:rFonts w:asciiTheme="majorHAnsi" w:hAnsiTheme="majorHAnsi"/>
          <w:b/>
          <w:color w:val="0070C0"/>
          <w:sz w:val="96"/>
          <w:szCs w:val="96"/>
        </w:rPr>
      </w:pPr>
    </w:p>
    <w:p w14:paraId="0C2E06F5" w14:textId="77777777" w:rsidR="00A72519" w:rsidRPr="00FB3EA0" w:rsidRDefault="00A72519" w:rsidP="00A72519">
      <w:pPr>
        <w:jc w:val="center"/>
        <w:rPr>
          <w:rFonts w:asciiTheme="majorHAnsi" w:hAnsiTheme="majorHAnsi"/>
          <w:b/>
          <w:color w:val="0070C0"/>
          <w:sz w:val="96"/>
          <w:szCs w:val="96"/>
        </w:rPr>
      </w:pPr>
    </w:p>
    <w:p w14:paraId="5CCD8E37" w14:textId="330B8600" w:rsidR="00A72519" w:rsidRPr="00FB3EA0" w:rsidRDefault="00A72519" w:rsidP="00A72519">
      <w:pPr>
        <w:jc w:val="center"/>
        <w:rPr>
          <w:rFonts w:asciiTheme="majorHAnsi" w:hAnsiTheme="majorHAnsi"/>
          <w:b/>
          <w:color w:val="0070C0"/>
          <w:sz w:val="72"/>
          <w:szCs w:val="72"/>
        </w:rPr>
      </w:pPr>
      <w:r w:rsidRPr="00FB3EA0">
        <w:rPr>
          <w:rFonts w:asciiTheme="majorHAnsi" w:hAnsiTheme="majorHAnsi"/>
          <w:b/>
          <w:color w:val="0070C0"/>
          <w:sz w:val="72"/>
          <w:szCs w:val="72"/>
        </w:rPr>
        <w:t>Date – September 202</w:t>
      </w:r>
      <w:r w:rsidR="00A434B8">
        <w:rPr>
          <w:rFonts w:asciiTheme="majorHAnsi" w:hAnsiTheme="majorHAnsi"/>
          <w:b/>
          <w:color w:val="0070C0"/>
          <w:sz w:val="72"/>
          <w:szCs w:val="72"/>
        </w:rPr>
        <w:t>5</w:t>
      </w:r>
    </w:p>
    <w:p w14:paraId="736EDE46" w14:textId="77777777" w:rsidR="00023F02" w:rsidRPr="00FB3EA0" w:rsidRDefault="00023F02">
      <w:pPr>
        <w:rPr>
          <w:rFonts w:asciiTheme="majorHAnsi" w:hAnsiTheme="majorHAnsi" w:cs="Arial"/>
          <w:b/>
          <w:sz w:val="28"/>
          <w:szCs w:val="28"/>
        </w:rPr>
      </w:pPr>
    </w:p>
    <w:p w14:paraId="0A42713A" w14:textId="77777777" w:rsidR="00023F02" w:rsidRPr="00FB3EA0" w:rsidRDefault="00023F02">
      <w:pPr>
        <w:rPr>
          <w:rFonts w:asciiTheme="majorHAnsi" w:hAnsiTheme="majorHAnsi" w:cs="Arial"/>
          <w:b/>
          <w:sz w:val="28"/>
          <w:szCs w:val="28"/>
        </w:rPr>
      </w:pPr>
    </w:p>
    <w:p w14:paraId="09EC52CF" w14:textId="77777777" w:rsidR="00023F02" w:rsidRPr="00FB3EA0" w:rsidRDefault="00023F02">
      <w:pPr>
        <w:rPr>
          <w:rFonts w:asciiTheme="majorHAnsi" w:hAnsiTheme="majorHAnsi" w:cs="Arial"/>
          <w:b/>
          <w:sz w:val="28"/>
          <w:szCs w:val="28"/>
        </w:rPr>
      </w:pPr>
    </w:p>
    <w:p w14:paraId="76DE0B88" w14:textId="77777777" w:rsidR="00023F02" w:rsidRPr="00FB3EA0" w:rsidRDefault="00023F02">
      <w:pPr>
        <w:rPr>
          <w:rFonts w:asciiTheme="majorHAnsi" w:hAnsiTheme="majorHAnsi" w:cs="Arial"/>
          <w:b/>
          <w:sz w:val="28"/>
          <w:szCs w:val="28"/>
        </w:rPr>
      </w:pPr>
    </w:p>
    <w:p w14:paraId="60908451" w14:textId="77777777" w:rsidR="00023F02" w:rsidRPr="00FB3EA0" w:rsidRDefault="00023F02">
      <w:pPr>
        <w:rPr>
          <w:rFonts w:asciiTheme="majorHAnsi" w:hAnsiTheme="majorHAnsi" w:cs="Arial"/>
          <w:b/>
          <w:sz w:val="28"/>
          <w:szCs w:val="28"/>
        </w:rPr>
      </w:pPr>
    </w:p>
    <w:p w14:paraId="0F0A3FDA" w14:textId="77777777" w:rsidR="00A72519" w:rsidRPr="00FB3EA0" w:rsidRDefault="00A72519">
      <w:pPr>
        <w:rPr>
          <w:rFonts w:asciiTheme="majorHAnsi" w:hAnsiTheme="majorHAnsi" w:cs="Arial"/>
          <w:b/>
          <w:sz w:val="28"/>
          <w:szCs w:val="28"/>
        </w:rPr>
      </w:pPr>
    </w:p>
    <w:p w14:paraId="7F87085A" w14:textId="75350B95" w:rsidR="00D30CC7" w:rsidRPr="00FB3EA0" w:rsidRDefault="00510C60">
      <w:pPr>
        <w:rPr>
          <w:rFonts w:asciiTheme="majorHAnsi" w:hAnsiTheme="majorHAnsi" w:cs="Arial"/>
          <w:b/>
          <w:sz w:val="28"/>
          <w:szCs w:val="28"/>
        </w:rPr>
      </w:pPr>
      <w:r w:rsidRPr="00FB3EA0">
        <w:rPr>
          <w:rFonts w:asciiTheme="majorHAnsi" w:hAnsiTheme="majorHAnsi" w:cs="Arial"/>
          <w:b/>
          <w:sz w:val="28"/>
          <w:szCs w:val="28"/>
        </w:rPr>
        <w:lastRenderedPageBreak/>
        <w:t>Contents</w:t>
      </w:r>
    </w:p>
    <w:p w14:paraId="316ED79A" w14:textId="1510F75C" w:rsidR="00B7483F" w:rsidRDefault="00510C60">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sidRPr="00FB3EA0">
        <w:rPr>
          <w:rFonts w:asciiTheme="majorHAnsi" w:hAnsiTheme="majorHAnsi"/>
        </w:rPr>
        <w:fldChar w:fldCharType="begin"/>
      </w:r>
      <w:r w:rsidRPr="00FB3EA0">
        <w:rPr>
          <w:rFonts w:asciiTheme="majorHAnsi" w:hAnsiTheme="majorHAnsi"/>
        </w:rPr>
        <w:instrText xml:space="preserve"> TOC \o "1-3" \u \h </w:instrText>
      </w:r>
      <w:r w:rsidRPr="00FB3EA0">
        <w:rPr>
          <w:rFonts w:asciiTheme="majorHAnsi" w:hAnsiTheme="majorHAnsi"/>
        </w:rPr>
        <w:fldChar w:fldCharType="separate"/>
      </w:r>
      <w:hyperlink w:anchor="_Toc177995297" w:history="1">
        <w:r w:rsidR="00B7483F" w:rsidRPr="005C0764">
          <w:rPr>
            <w:rStyle w:val="Hyperlink"/>
            <w:rFonts w:asciiTheme="majorHAnsi" w:eastAsia="Arial" w:hAnsiTheme="majorHAnsi"/>
            <w:noProof/>
            <w:lang w:val="en-GB" w:eastAsia="en-GB"/>
          </w:rPr>
          <w:t>1. Aims</w:t>
        </w:r>
        <w:r w:rsidR="00B7483F">
          <w:rPr>
            <w:noProof/>
          </w:rPr>
          <w:tab/>
        </w:r>
        <w:r w:rsidR="00B7483F">
          <w:rPr>
            <w:noProof/>
          </w:rPr>
          <w:fldChar w:fldCharType="begin"/>
        </w:r>
        <w:r w:rsidR="00B7483F">
          <w:rPr>
            <w:noProof/>
          </w:rPr>
          <w:instrText xml:space="preserve"> PAGEREF _Toc177995297 \h </w:instrText>
        </w:r>
        <w:r w:rsidR="00B7483F">
          <w:rPr>
            <w:noProof/>
          </w:rPr>
        </w:r>
        <w:r w:rsidR="00B7483F">
          <w:rPr>
            <w:noProof/>
          </w:rPr>
          <w:fldChar w:fldCharType="separate"/>
        </w:r>
        <w:r w:rsidR="00B7483F">
          <w:rPr>
            <w:noProof/>
          </w:rPr>
          <w:t>3</w:t>
        </w:r>
        <w:r w:rsidR="00B7483F">
          <w:rPr>
            <w:noProof/>
          </w:rPr>
          <w:fldChar w:fldCharType="end"/>
        </w:r>
      </w:hyperlink>
    </w:p>
    <w:p w14:paraId="04520232" w14:textId="16D65A66" w:rsidR="00B7483F" w:rsidRDefault="00B7483F">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7995298" w:history="1">
        <w:r w:rsidRPr="005C0764">
          <w:rPr>
            <w:rStyle w:val="Hyperlink"/>
            <w:rFonts w:asciiTheme="majorHAnsi" w:eastAsia="Arial" w:hAnsiTheme="majorHAnsi"/>
            <w:noProof/>
            <w:lang w:val="en-GB" w:eastAsia="en-GB"/>
          </w:rPr>
          <w:t xml:space="preserve">2. </w:t>
        </w:r>
        <w:r w:rsidRPr="005C0764">
          <w:rPr>
            <w:rStyle w:val="Hyperlink"/>
            <w:rFonts w:asciiTheme="majorHAnsi" w:eastAsia="Arial" w:hAnsiTheme="majorHAnsi"/>
            <w:noProof/>
            <w:lang w:eastAsia="en-GB"/>
          </w:rPr>
          <w:t>Scope</w:t>
        </w:r>
        <w:r>
          <w:rPr>
            <w:noProof/>
          </w:rPr>
          <w:tab/>
        </w:r>
        <w:r>
          <w:rPr>
            <w:noProof/>
          </w:rPr>
          <w:fldChar w:fldCharType="begin"/>
        </w:r>
        <w:r>
          <w:rPr>
            <w:noProof/>
          </w:rPr>
          <w:instrText xml:space="preserve"> PAGEREF _Toc177995298 \h </w:instrText>
        </w:r>
        <w:r>
          <w:rPr>
            <w:noProof/>
          </w:rPr>
        </w:r>
        <w:r>
          <w:rPr>
            <w:noProof/>
          </w:rPr>
          <w:fldChar w:fldCharType="separate"/>
        </w:r>
        <w:r>
          <w:rPr>
            <w:noProof/>
          </w:rPr>
          <w:t>3</w:t>
        </w:r>
        <w:r>
          <w:rPr>
            <w:noProof/>
          </w:rPr>
          <w:fldChar w:fldCharType="end"/>
        </w:r>
      </w:hyperlink>
    </w:p>
    <w:p w14:paraId="592AE412" w14:textId="2EE5344E" w:rsidR="00B7483F" w:rsidRDefault="00B7483F">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7995299" w:history="1">
        <w:r w:rsidRPr="005C0764">
          <w:rPr>
            <w:rStyle w:val="Hyperlink"/>
            <w:rFonts w:asciiTheme="majorHAnsi" w:eastAsia="Arial" w:hAnsiTheme="majorHAnsi"/>
            <w:noProof/>
            <w:lang w:val="en-GB" w:eastAsia="en-GB"/>
          </w:rPr>
          <w:t>3. Legislation and statutory guidance</w:t>
        </w:r>
        <w:r>
          <w:rPr>
            <w:noProof/>
          </w:rPr>
          <w:tab/>
        </w:r>
        <w:r>
          <w:rPr>
            <w:noProof/>
          </w:rPr>
          <w:fldChar w:fldCharType="begin"/>
        </w:r>
        <w:r>
          <w:rPr>
            <w:noProof/>
          </w:rPr>
          <w:instrText xml:space="preserve"> PAGEREF _Toc177995299 \h </w:instrText>
        </w:r>
        <w:r>
          <w:rPr>
            <w:noProof/>
          </w:rPr>
        </w:r>
        <w:r>
          <w:rPr>
            <w:noProof/>
          </w:rPr>
          <w:fldChar w:fldCharType="separate"/>
        </w:r>
        <w:r>
          <w:rPr>
            <w:noProof/>
          </w:rPr>
          <w:t>3</w:t>
        </w:r>
        <w:r>
          <w:rPr>
            <w:noProof/>
          </w:rPr>
          <w:fldChar w:fldCharType="end"/>
        </w:r>
      </w:hyperlink>
    </w:p>
    <w:p w14:paraId="5D7C714F" w14:textId="41787F22" w:rsidR="00B7483F" w:rsidRDefault="00B7483F">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7995300" w:history="1">
        <w:r w:rsidRPr="005C0764">
          <w:rPr>
            <w:rStyle w:val="Hyperlink"/>
            <w:rFonts w:asciiTheme="majorHAnsi" w:eastAsia="Arial" w:hAnsiTheme="majorHAnsi"/>
            <w:noProof/>
            <w:lang w:val="en-GB" w:eastAsia="en-GB"/>
          </w:rPr>
          <w:t>4. The ECT induction programme</w:t>
        </w:r>
        <w:r>
          <w:rPr>
            <w:noProof/>
          </w:rPr>
          <w:tab/>
        </w:r>
        <w:r>
          <w:rPr>
            <w:noProof/>
          </w:rPr>
          <w:fldChar w:fldCharType="begin"/>
        </w:r>
        <w:r>
          <w:rPr>
            <w:noProof/>
          </w:rPr>
          <w:instrText xml:space="preserve"> PAGEREF _Toc177995300 \h </w:instrText>
        </w:r>
        <w:r>
          <w:rPr>
            <w:noProof/>
          </w:rPr>
        </w:r>
        <w:r>
          <w:rPr>
            <w:noProof/>
          </w:rPr>
          <w:fldChar w:fldCharType="separate"/>
        </w:r>
        <w:r>
          <w:rPr>
            <w:noProof/>
          </w:rPr>
          <w:t>3</w:t>
        </w:r>
        <w:r>
          <w:rPr>
            <w:noProof/>
          </w:rPr>
          <w:fldChar w:fldCharType="end"/>
        </w:r>
      </w:hyperlink>
    </w:p>
    <w:p w14:paraId="0A13DDB0" w14:textId="0E20AFFD" w:rsidR="00B7483F" w:rsidRDefault="00B7483F">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7995301" w:history="1">
        <w:r w:rsidRPr="005C0764">
          <w:rPr>
            <w:rStyle w:val="Hyperlink"/>
            <w:rFonts w:asciiTheme="majorHAnsi" w:eastAsia="Arial" w:hAnsiTheme="majorHAnsi"/>
            <w:noProof/>
            <w:lang w:val="en-GB" w:eastAsia="en-GB"/>
          </w:rPr>
          <w:t>5. Roles and responsibilities</w:t>
        </w:r>
        <w:r>
          <w:rPr>
            <w:noProof/>
          </w:rPr>
          <w:tab/>
        </w:r>
        <w:r>
          <w:rPr>
            <w:noProof/>
          </w:rPr>
          <w:fldChar w:fldCharType="begin"/>
        </w:r>
        <w:r>
          <w:rPr>
            <w:noProof/>
          </w:rPr>
          <w:instrText xml:space="preserve"> PAGEREF _Toc177995301 \h </w:instrText>
        </w:r>
        <w:r>
          <w:rPr>
            <w:noProof/>
          </w:rPr>
        </w:r>
        <w:r>
          <w:rPr>
            <w:noProof/>
          </w:rPr>
          <w:fldChar w:fldCharType="separate"/>
        </w:r>
        <w:r>
          <w:rPr>
            <w:noProof/>
          </w:rPr>
          <w:t>5</w:t>
        </w:r>
        <w:r>
          <w:rPr>
            <w:noProof/>
          </w:rPr>
          <w:fldChar w:fldCharType="end"/>
        </w:r>
      </w:hyperlink>
    </w:p>
    <w:p w14:paraId="372C5153" w14:textId="1888E9C3" w:rsidR="00B7483F" w:rsidRDefault="00B7483F">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7995302" w:history="1">
        <w:r w:rsidRPr="005C0764">
          <w:rPr>
            <w:rStyle w:val="Hyperlink"/>
            <w:rFonts w:asciiTheme="majorHAnsi" w:eastAsia="Arial" w:hAnsiTheme="majorHAnsi"/>
            <w:noProof/>
            <w:lang w:val="en-GB" w:eastAsia="en-GB"/>
          </w:rPr>
          <w:t>6. Monitoring arrangements</w:t>
        </w:r>
        <w:r>
          <w:rPr>
            <w:noProof/>
          </w:rPr>
          <w:tab/>
        </w:r>
        <w:r>
          <w:rPr>
            <w:noProof/>
          </w:rPr>
          <w:fldChar w:fldCharType="begin"/>
        </w:r>
        <w:r>
          <w:rPr>
            <w:noProof/>
          </w:rPr>
          <w:instrText xml:space="preserve"> PAGEREF _Toc177995302 \h </w:instrText>
        </w:r>
        <w:r>
          <w:rPr>
            <w:noProof/>
          </w:rPr>
        </w:r>
        <w:r>
          <w:rPr>
            <w:noProof/>
          </w:rPr>
          <w:fldChar w:fldCharType="separate"/>
        </w:r>
        <w:r>
          <w:rPr>
            <w:noProof/>
          </w:rPr>
          <w:t>7</w:t>
        </w:r>
        <w:r>
          <w:rPr>
            <w:noProof/>
          </w:rPr>
          <w:fldChar w:fldCharType="end"/>
        </w:r>
      </w:hyperlink>
    </w:p>
    <w:p w14:paraId="3A38B352" w14:textId="6E498636" w:rsidR="00B7483F" w:rsidRDefault="00B7483F">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7995303" w:history="1">
        <w:r w:rsidRPr="005C0764">
          <w:rPr>
            <w:rStyle w:val="Hyperlink"/>
            <w:rFonts w:asciiTheme="majorHAnsi" w:eastAsia="Arial" w:hAnsiTheme="majorHAnsi"/>
            <w:noProof/>
            <w:lang w:val="en-GB" w:eastAsia="en-GB"/>
          </w:rPr>
          <w:t>7. Links with other policies</w:t>
        </w:r>
        <w:r>
          <w:rPr>
            <w:noProof/>
          </w:rPr>
          <w:tab/>
        </w:r>
        <w:r>
          <w:rPr>
            <w:noProof/>
          </w:rPr>
          <w:fldChar w:fldCharType="begin"/>
        </w:r>
        <w:r>
          <w:rPr>
            <w:noProof/>
          </w:rPr>
          <w:instrText xml:space="preserve"> PAGEREF _Toc177995303 \h </w:instrText>
        </w:r>
        <w:r>
          <w:rPr>
            <w:noProof/>
          </w:rPr>
        </w:r>
        <w:r>
          <w:rPr>
            <w:noProof/>
          </w:rPr>
          <w:fldChar w:fldCharType="separate"/>
        </w:r>
        <w:r>
          <w:rPr>
            <w:noProof/>
          </w:rPr>
          <w:t>7</w:t>
        </w:r>
        <w:r>
          <w:rPr>
            <w:noProof/>
          </w:rPr>
          <w:fldChar w:fldCharType="end"/>
        </w:r>
      </w:hyperlink>
    </w:p>
    <w:p w14:paraId="43DB16F5" w14:textId="2C442649" w:rsidR="00A05BAE" w:rsidRPr="00FB3EA0" w:rsidRDefault="00510C60" w:rsidP="00A05BAE">
      <w:pPr>
        <w:rPr>
          <w:rFonts w:asciiTheme="majorHAnsi" w:eastAsia="Arial" w:hAnsiTheme="majorHAnsi"/>
          <w:szCs w:val="28"/>
          <w:lang w:val="en-GB" w:eastAsia="en-GB"/>
        </w:rPr>
      </w:pPr>
      <w:r w:rsidRPr="00FB3EA0">
        <w:rPr>
          <w:rFonts w:asciiTheme="majorHAnsi" w:hAnsiTheme="majorHAnsi"/>
        </w:rPr>
        <w:fldChar w:fldCharType="end"/>
      </w:r>
      <w:bookmarkStart w:id="0" w:name="_Toc25836416"/>
      <w:bookmarkStart w:id="1" w:name="_Toc71203489"/>
    </w:p>
    <w:p w14:paraId="47244DE6" w14:textId="77777777" w:rsidR="00A05BAE" w:rsidRPr="00FB3EA0" w:rsidRDefault="00A05BAE">
      <w:pPr>
        <w:pStyle w:val="Heading1"/>
        <w:rPr>
          <w:rFonts w:asciiTheme="majorHAnsi" w:eastAsia="Arial" w:hAnsiTheme="majorHAnsi"/>
          <w:szCs w:val="28"/>
          <w:lang w:val="en-GB" w:eastAsia="en-GB"/>
        </w:rPr>
      </w:pPr>
    </w:p>
    <w:p w14:paraId="1F29F9A8" w14:textId="77777777" w:rsidR="00A05BAE" w:rsidRPr="00FB3EA0" w:rsidRDefault="00A05BAE">
      <w:pPr>
        <w:pStyle w:val="Heading1"/>
        <w:rPr>
          <w:rFonts w:asciiTheme="majorHAnsi" w:eastAsia="Arial" w:hAnsiTheme="majorHAnsi"/>
          <w:szCs w:val="28"/>
          <w:lang w:val="en-GB" w:eastAsia="en-GB"/>
        </w:rPr>
      </w:pPr>
    </w:p>
    <w:p w14:paraId="53BB2496" w14:textId="77777777" w:rsidR="00A05BAE" w:rsidRPr="00FB3EA0" w:rsidRDefault="00A05BAE">
      <w:pPr>
        <w:pStyle w:val="Heading1"/>
        <w:rPr>
          <w:rFonts w:asciiTheme="majorHAnsi" w:eastAsia="Arial" w:hAnsiTheme="majorHAnsi"/>
          <w:szCs w:val="28"/>
          <w:lang w:val="en-GB" w:eastAsia="en-GB"/>
        </w:rPr>
      </w:pPr>
    </w:p>
    <w:p w14:paraId="7A6005BC" w14:textId="77777777" w:rsidR="00A05BAE" w:rsidRPr="00FB3EA0" w:rsidRDefault="00A05BAE">
      <w:pPr>
        <w:pStyle w:val="Heading1"/>
        <w:rPr>
          <w:rFonts w:asciiTheme="majorHAnsi" w:eastAsia="Arial" w:hAnsiTheme="majorHAnsi"/>
          <w:szCs w:val="28"/>
          <w:lang w:val="en-GB" w:eastAsia="en-GB"/>
        </w:rPr>
      </w:pPr>
    </w:p>
    <w:p w14:paraId="49D467B2" w14:textId="77777777" w:rsidR="00A05BAE" w:rsidRPr="00FB3EA0" w:rsidRDefault="00A05BAE">
      <w:pPr>
        <w:pStyle w:val="Heading1"/>
        <w:rPr>
          <w:rFonts w:asciiTheme="majorHAnsi" w:eastAsia="Arial" w:hAnsiTheme="majorHAnsi"/>
          <w:szCs w:val="28"/>
          <w:lang w:val="en-GB" w:eastAsia="en-GB"/>
        </w:rPr>
      </w:pPr>
    </w:p>
    <w:p w14:paraId="76805B6C" w14:textId="77777777" w:rsidR="00A05BAE" w:rsidRPr="00FB3EA0" w:rsidRDefault="00A05BAE">
      <w:pPr>
        <w:pStyle w:val="Heading1"/>
        <w:rPr>
          <w:rFonts w:asciiTheme="majorHAnsi" w:eastAsia="Arial" w:hAnsiTheme="majorHAnsi"/>
          <w:szCs w:val="28"/>
          <w:lang w:val="en-GB" w:eastAsia="en-GB"/>
        </w:rPr>
      </w:pPr>
    </w:p>
    <w:p w14:paraId="7A077EB1" w14:textId="77777777" w:rsidR="00A05BAE" w:rsidRPr="00FB3EA0" w:rsidRDefault="00A05BAE">
      <w:pPr>
        <w:pStyle w:val="Heading1"/>
        <w:rPr>
          <w:rFonts w:asciiTheme="majorHAnsi" w:eastAsia="Arial" w:hAnsiTheme="majorHAnsi"/>
          <w:szCs w:val="28"/>
          <w:lang w:val="en-GB" w:eastAsia="en-GB"/>
        </w:rPr>
      </w:pPr>
    </w:p>
    <w:p w14:paraId="320B0E3B" w14:textId="77777777" w:rsidR="00A05BAE" w:rsidRPr="00FB3EA0" w:rsidRDefault="00A05BAE">
      <w:pPr>
        <w:pStyle w:val="Heading1"/>
        <w:rPr>
          <w:rFonts w:asciiTheme="majorHAnsi" w:eastAsia="Arial" w:hAnsiTheme="majorHAnsi"/>
          <w:szCs w:val="28"/>
          <w:lang w:val="en-GB" w:eastAsia="en-GB"/>
        </w:rPr>
      </w:pPr>
    </w:p>
    <w:p w14:paraId="10F7B1F5" w14:textId="77777777" w:rsidR="00A05BAE" w:rsidRPr="00FB3EA0" w:rsidRDefault="00A05BAE">
      <w:pPr>
        <w:pStyle w:val="Heading1"/>
        <w:rPr>
          <w:rFonts w:asciiTheme="majorHAnsi" w:eastAsia="Arial" w:hAnsiTheme="majorHAnsi"/>
          <w:szCs w:val="28"/>
          <w:lang w:val="en-GB" w:eastAsia="en-GB"/>
        </w:rPr>
      </w:pPr>
    </w:p>
    <w:p w14:paraId="123D6C9E" w14:textId="77777777" w:rsidR="00A05BAE" w:rsidRPr="00FB3EA0" w:rsidRDefault="00A05BAE">
      <w:pPr>
        <w:pStyle w:val="Heading1"/>
        <w:rPr>
          <w:rFonts w:asciiTheme="majorHAnsi" w:eastAsia="Arial" w:hAnsiTheme="majorHAnsi"/>
          <w:szCs w:val="28"/>
          <w:lang w:val="en-GB" w:eastAsia="en-GB"/>
        </w:rPr>
      </w:pPr>
    </w:p>
    <w:p w14:paraId="1B1FA01F" w14:textId="772AB969" w:rsidR="00A05BAE" w:rsidRPr="00FB3EA0" w:rsidRDefault="00A05BAE">
      <w:pPr>
        <w:suppressAutoHyphens w:val="0"/>
        <w:spacing w:after="160" w:line="276" w:lineRule="auto"/>
        <w:rPr>
          <w:rFonts w:asciiTheme="majorHAnsi" w:eastAsia="Arial" w:hAnsiTheme="majorHAnsi"/>
          <w:color w:val="0F4761"/>
          <w:sz w:val="40"/>
          <w:szCs w:val="28"/>
          <w:lang w:val="en-GB" w:eastAsia="en-GB"/>
        </w:rPr>
      </w:pPr>
      <w:r w:rsidRPr="00FB3EA0">
        <w:rPr>
          <w:rFonts w:asciiTheme="majorHAnsi" w:eastAsia="Arial" w:hAnsiTheme="majorHAnsi"/>
          <w:szCs w:val="28"/>
          <w:lang w:val="en-GB" w:eastAsia="en-GB"/>
        </w:rPr>
        <w:br w:type="page"/>
      </w:r>
    </w:p>
    <w:p w14:paraId="3D17ED60" w14:textId="3B1174C0" w:rsidR="00A05BAE" w:rsidRPr="00FB3EA0" w:rsidRDefault="00A05BAE">
      <w:pPr>
        <w:pStyle w:val="Heading1"/>
        <w:rPr>
          <w:rFonts w:asciiTheme="majorHAnsi" w:eastAsia="Arial" w:hAnsiTheme="majorHAnsi"/>
          <w:szCs w:val="28"/>
          <w:lang w:val="en-GB" w:eastAsia="en-GB"/>
        </w:rPr>
      </w:pPr>
    </w:p>
    <w:p w14:paraId="7F870864" w14:textId="7A521C37" w:rsidR="00D30CC7" w:rsidRPr="00FB3EA0" w:rsidRDefault="00510C60">
      <w:pPr>
        <w:pStyle w:val="Heading1"/>
        <w:rPr>
          <w:rFonts w:asciiTheme="majorHAnsi" w:hAnsiTheme="majorHAnsi"/>
        </w:rPr>
      </w:pPr>
      <w:bookmarkStart w:id="2" w:name="_Toc177995297"/>
      <w:r w:rsidRPr="00FB3EA0">
        <w:rPr>
          <w:rFonts w:asciiTheme="majorHAnsi" w:eastAsia="Arial" w:hAnsiTheme="majorHAnsi"/>
          <w:szCs w:val="28"/>
          <w:lang w:val="en-GB" w:eastAsia="en-GB"/>
        </w:rPr>
        <w:t>1. Aims</w:t>
      </w:r>
      <w:bookmarkEnd w:id="0"/>
      <w:bookmarkEnd w:id="1"/>
      <w:bookmarkEnd w:id="2"/>
    </w:p>
    <w:p w14:paraId="7F870865"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The school aims to:</w:t>
      </w:r>
    </w:p>
    <w:p w14:paraId="7F870866" w14:textId="77777777" w:rsidR="00D30CC7" w:rsidRPr="00FB3EA0" w:rsidRDefault="00510C60">
      <w:pPr>
        <w:numPr>
          <w:ilvl w:val="0"/>
          <w:numId w:val="2"/>
        </w:numPr>
        <w:ind w:left="340" w:hanging="261"/>
        <w:rPr>
          <w:rFonts w:asciiTheme="majorHAnsi" w:hAnsiTheme="majorHAnsi"/>
        </w:rPr>
      </w:pPr>
      <w:r w:rsidRPr="00FB3EA0">
        <w:rPr>
          <w:rFonts w:asciiTheme="majorHAnsi" w:hAnsiTheme="majorHAnsi"/>
          <w:lang w:val="en-GB" w:eastAsia="en-GB"/>
        </w:rPr>
        <w:t xml:space="preserve">Run an ECT induction programme that meets all of the statutory requirements underpinned by the Early Career Framework (ECF) </w:t>
      </w:r>
    </w:p>
    <w:p w14:paraId="7F870867" w14:textId="77777777" w:rsidR="00D30CC7" w:rsidRPr="00FB3EA0" w:rsidRDefault="00510C60">
      <w:pPr>
        <w:numPr>
          <w:ilvl w:val="0"/>
          <w:numId w:val="2"/>
        </w:numPr>
        <w:ind w:left="340" w:hanging="261"/>
        <w:rPr>
          <w:rFonts w:asciiTheme="majorHAnsi" w:hAnsiTheme="majorHAnsi"/>
        </w:rPr>
      </w:pPr>
      <w:r w:rsidRPr="00FB3EA0">
        <w:rPr>
          <w:rFonts w:asciiTheme="majorHAnsi" w:hAnsiTheme="majorHAnsi"/>
          <w:lang w:val="en-GB" w:eastAsia="en-GB"/>
        </w:rPr>
        <w:t>Provide ECTs with a supportive environment that develops them and equips them with the tools to be effective and successful teachers</w:t>
      </w:r>
    </w:p>
    <w:p w14:paraId="7F870868" w14:textId="77777777" w:rsidR="00D30CC7" w:rsidRPr="00FB3EA0" w:rsidRDefault="00510C60">
      <w:pPr>
        <w:numPr>
          <w:ilvl w:val="0"/>
          <w:numId w:val="2"/>
        </w:numPr>
        <w:ind w:left="340" w:hanging="261"/>
        <w:rPr>
          <w:rFonts w:asciiTheme="majorHAnsi" w:hAnsiTheme="majorHAnsi"/>
        </w:rPr>
      </w:pPr>
      <w:r w:rsidRPr="00FB3EA0">
        <w:rPr>
          <w:rFonts w:asciiTheme="majorHAnsi" w:hAnsiTheme="majorHAnsi"/>
          <w:lang w:val="en-GB" w:eastAsia="en-GB"/>
        </w:rPr>
        <w:t>Make sure all staff understand their role in the ECT induction programme</w:t>
      </w:r>
    </w:p>
    <w:p w14:paraId="7F870869" w14:textId="77777777" w:rsidR="00D30CC7" w:rsidRPr="00FB3EA0" w:rsidRDefault="00D30CC7">
      <w:pPr>
        <w:rPr>
          <w:rFonts w:asciiTheme="majorHAnsi" w:hAnsiTheme="majorHAnsi"/>
          <w:lang w:val="en-GB" w:eastAsia="en-GB"/>
        </w:rPr>
      </w:pPr>
    </w:p>
    <w:p w14:paraId="7F87086A" w14:textId="77777777" w:rsidR="00D30CC7" w:rsidRPr="00FB3EA0" w:rsidRDefault="00510C60">
      <w:pPr>
        <w:pStyle w:val="Heading1"/>
        <w:rPr>
          <w:rFonts w:asciiTheme="majorHAnsi" w:hAnsiTheme="majorHAnsi"/>
        </w:rPr>
      </w:pPr>
      <w:bookmarkStart w:id="3" w:name="_Toc71203490"/>
      <w:bookmarkStart w:id="4" w:name="_Toc177995298"/>
      <w:r w:rsidRPr="00FB3EA0">
        <w:rPr>
          <w:rFonts w:asciiTheme="majorHAnsi" w:eastAsia="Arial" w:hAnsiTheme="majorHAnsi"/>
          <w:szCs w:val="28"/>
          <w:lang w:val="en-GB" w:eastAsia="en-GB"/>
        </w:rPr>
        <w:t xml:space="preserve">2. </w:t>
      </w:r>
      <w:bookmarkEnd w:id="3"/>
      <w:r w:rsidRPr="00FB3EA0">
        <w:rPr>
          <w:rFonts w:asciiTheme="majorHAnsi" w:eastAsia="Arial" w:hAnsiTheme="majorHAnsi"/>
          <w:szCs w:val="28"/>
          <w:lang w:eastAsia="en-GB"/>
        </w:rPr>
        <w:t>Scope</w:t>
      </w:r>
      <w:bookmarkEnd w:id="4"/>
    </w:p>
    <w:p w14:paraId="7F87086B" w14:textId="77777777" w:rsidR="00D30CC7" w:rsidRPr="00FB3EA0" w:rsidRDefault="00510C60">
      <w:pPr>
        <w:rPr>
          <w:rFonts w:asciiTheme="majorHAnsi" w:hAnsiTheme="majorHAnsi"/>
        </w:rPr>
      </w:pPr>
      <w:r w:rsidRPr="00FB3EA0">
        <w:rPr>
          <w:rFonts w:asciiTheme="majorHAnsi" w:hAnsiTheme="majorHAnsi"/>
          <w:lang w:val="en-GB" w:eastAsia="en-GB"/>
        </w:rPr>
        <w:t xml:space="preserve">This policy applies </w:t>
      </w:r>
      <w:r w:rsidRPr="00FB3EA0">
        <w:rPr>
          <w:rFonts w:asciiTheme="majorHAnsi" w:hAnsiTheme="majorHAnsi"/>
          <w:lang w:eastAsia="en-GB"/>
        </w:rPr>
        <w:t>all</w:t>
      </w:r>
      <w:r w:rsidRPr="00FB3EA0">
        <w:rPr>
          <w:rFonts w:asciiTheme="majorHAnsi" w:hAnsiTheme="majorHAnsi"/>
          <w:lang w:val="en-GB" w:eastAsia="en-GB"/>
        </w:rPr>
        <w:t xml:space="preserve"> ECTs who</w:t>
      </w:r>
      <w:r w:rsidRPr="00FB3EA0">
        <w:rPr>
          <w:rFonts w:asciiTheme="majorHAnsi" w:hAnsiTheme="majorHAnsi"/>
          <w:lang w:eastAsia="en-GB"/>
        </w:rPr>
        <w:t xml:space="preserve"> have started, but not completed, their induction period.</w:t>
      </w:r>
    </w:p>
    <w:p w14:paraId="7F87086C" w14:textId="77777777" w:rsidR="00D30CC7" w:rsidRPr="00FB3EA0" w:rsidRDefault="00D30CC7">
      <w:pPr>
        <w:rPr>
          <w:rFonts w:asciiTheme="majorHAnsi" w:hAnsiTheme="majorHAnsi"/>
          <w:lang w:eastAsia="en-GB"/>
        </w:rPr>
      </w:pPr>
    </w:p>
    <w:p w14:paraId="7F87086D" w14:textId="77777777" w:rsidR="00D30CC7" w:rsidRPr="00FB3EA0" w:rsidRDefault="00510C60">
      <w:pPr>
        <w:pStyle w:val="Heading1"/>
        <w:rPr>
          <w:rFonts w:asciiTheme="majorHAnsi" w:hAnsiTheme="majorHAnsi"/>
        </w:rPr>
      </w:pPr>
      <w:bookmarkStart w:id="5" w:name="_Toc25836417"/>
      <w:bookmarkStart w:id="6" w:name="_Toc71203491"/>
      <w:bookmarkStart w:id="7" w:name="_Toc177995299"/>
      <w:r w:rsidRPr="00FB3EA0">
        <w:rPr>
          <w:rFonts w:asciiTheme="majorHAnsi" w:eastAsia="Arial" w:hAnsiTheme="majorHAnsi"/>
          <w:szCs w:val="28"/>
          <w:lang w:val="en-GB" w:eastAsia="en-GB"/>
        </w:rPr>
        <w:t>3. Legislation and statutory guidance</w:t>
      </w:r>
      <w:bookmarkEnd w:id="5"/>
      <w:bookmarkEnd w:id="6"/>
      <w:bookmarkEnd w:id="7"/>
    </w:p>
    <w:p w14:paraId="7F87086E"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 xml:space="preserve">This policy is based on: </w:t>
      </w:r>
    </w:p>
    <w:p w14:paraId="7F87086F" w14:textId="77777777" w:rsidR="00D30CC7" w:rsidRPr="00FB3EA0" w:rsidRDefault="00510C60">
      <w:pPr>
        <w:numPr>
          <w:ilvl w:val="0"/>
          <w:numId w:val="3"/>
        </w:numPr>
        <w:ind w:hanging="424"/>
        <w:rPr>
          <w:rFonts w:asciiTheme="majorHAnsi" w:hAnsiTheme="majorHAnsi"/>
        </w:rPr>
      </w:pPr>
      <w:r w:rsidRPr="00FB3EA0">
        <w:rPr>
          <w:rFonts w:asciiTheme="majorHAnsi" w:hAnsiTheme="majorHAnsi"/>
          <w:lang w:val="en-GB" w:eastAsia="en-GB"/>
        </w:rPr>
        <w:t xml:space="preserve">The Department for Education’s (DfE’s) statutory guidance </w:t>
      </w:r>
      <w:hyperlink r:id="rId8" w:history="1">
        <w:r w:rsidRPr="00FB3EA0">
          <w:rPr>
            <w:rFonts w:asciiTheme="majorHAnsi" w:hAnsiTheme="majorHAnsi"/>
            <w:color w:val="0072CC"/>
            <w:u w:val="single" w:color="0072CC"/>
            <w:lang w:val="en-GB" w:eastAsia="en-GB"/>
          </w:rPr>
          <w:t>Induction</w:t>
        </w:r>
        <w:bookmarkStart w:id="8" w:name="_Hlt102643059"/>
        <w:bookmarkStart w:id="9" w:name="_Hlt102643060"/>
        <w:bookmarkEnd w:id="8"/>
        <w:bookmarkEnd w:id="9"/>
        <w:r w:rsidRPr="00FB3EA0">
          <w:rPr>
            <w:rFonts w:asciiTheme="majorHAnsi" w:hAnsiTheme="majorHAnsi"/>
            <w:color w:val="0072CC"/>
            <w:u w:val="single" w:color="0072CC"/>
            <w:lang w:val="en-GB" w:eastAsia="en-GB"/>
          </w:rPr>
          <w:t xml:space="preserve"> fo</w:t>
        </w:r>
        <w:bookmarkStart w:id="10" w:name="_Hlt102488079"/>
        <w:bookmarkStart w:id="11" w:name="_Hlt102488080"/>
        <w:r w:rsidRPr="00FB3EA0">
          <w:rPr>
            <w:rFonts w:asciiTheme="majorHAnsi" w:hAnsiTheme="majorHAnsi"/>
            <w:color w:val="0072CC"/>
            <w:u w:val="single" w:color="0072CC"/>
            <w:lang w:val="en-GB" w:eastAsia="en-GB"/>
          </w:rPr>
          <w:t>r</w:t>
        </w:r>
        <w:bookmarkEnd w:id="10"/>
        <w:bookmarkEnd w:id="11"/>
        <w:r w:rsidRPr="00FB3EA0">
          <w:rPr>
            <w:rFonts w:asciiTheme="majorHAnsi" w:hAnsiTheme="majorHAnsi"/>
            <w:color w:val="0072CC"/>
            <w:u w:val="single" w:color="0072CC"/>
            <w:lang w:val="en-GB" w:eastAsia="en-GB"/>
          </w:rPr>
          <w:t xml:space="preserve"> </w:t>
        </w:r>
        <w:bookmarkStart w:id="12" w:name="_Hlt167891531"/>
        <w:bookmarkStart w:id="13" w:name="_Hlt167891532"/>
        <w:bookmarkEnd w:id="12"/>
        <w:bookmarkEnd w:id="13"/>
        <w:r w:rsidRPr="00FB3EA0">
          <w:rPr>
            <w:rFonts w:asciiTheme="majorHAnsi" w:hAnsiTheme="majorHAnsi"/>
            <w:color w:val="0072CC"/>
            <w:u w:val="single" w:color="0072CC"/>
            <w:lang w:val="en-GB" w:eastAsia="en-GB"/>
          </w:rPr>
          <w:t>e</w:t>
        </w:r>
        <w:bookmarkStart w:id="14" w:name="_Hlt167891456"/>
        <w:bookmarkStart w:id="15" w:name="_Hlt167891457"/>
        <w:bookmarkEnd w:id="14"/>
        <w:bookmarkEnd w:id="15"/>
        <w:r w:rsidRPr="00FB3EA0">
          <w:rPr>
            <w:rFonts w:asciiTheme="majorHAnsi" w:hAnsiTheme="majorHAnsi"/>
            <w:color w:val="0072CC"/>
            <w:u w:val="single" w:color="0072CC"/>
            <w:lang w:val="en-GB" w:eastAsia="en-GB"/>
          </w:rPr>
          <w:t>arly ca</w:t>
        </w:r>
        <w:bookmarkStart w:id="16" w:name="_Hlt167889440"/>
        <w:bookmarkStart w:id="17" w:name="_Hlt167889441"/>
        <w:bookmarkEnd w:id="16"/>
        <w:bookmarkEnd w:id="17"/>
        <w:r w:rsidRPr="00FB3EA0">
          <w:rPr>
            <w:rFonts w:asciiTheme="majorHAnsi" w:hAnsiTheme="majorHAnsi"/>
            <w:color w:val="0072CC"/>
            <w:u w:val="single" w:color="0072CC"/>
            <w:lang w:val="en-GB" w:eastAsia="en-GB"/>
          </w:rPr>
          <w:t>reer teachers (England)</w:t>
        </w:r>
      </w:hyperlink>
    </w:p>
    <w:p w14:paraId="7F870870" w14:textId="77777777" w:rsidR="00D30CC7" w:rsidRPr="00FB3EA0" w:rsidRDefault="00510C60">
      <w:pPr>
        <w:numPr>
          <w:ilvl w:val="0"/>
          <w:numId w:val="3"/>
        </w:numPr>
        <w:ind w:hanging="424"/>
        <w:rPr>
          <w:rFonts w:asciiTheme="majorHAnsi" w:hAnsiTheme="majorHAnsi"/>
        </w:rPr>
      </w:pPr>
      <w:r w:rsidRPr="00FB3EA0">
        <w:rPr>
          <w:rFonts w:asciiTheme="majorHAnsi" w:hAnsiTheme="majorHAnsi"/>
          <w:lang w:val="en-GB" w:eastAsia="en-GB"/>
        </w:rPr>
        <w:t xml:space="preserve">The </w:t>
      </w:r>
      <w:hyperlink r:id="rId9" w:history="1">
        <w:r w:rsidRPr="00FB3EA0">
          <w:rPr>
            <w:rStyle w:val="Hyperlink"/>
            <w:rFonts w:asciiTheme="majorHAnsi" w:hAnsiTheme="majorHAnsi"/>
            <w:lang w:val="en-GB" w:eastAsia="en-GB"/>
          </w:rPr>
          <w:t>Early Career Framework</w:t>
        </w:r>
      </w:hyperlink>
    </w:p>
    <w:p w14:paraId="7F870871" w14:textId="77777777" w:rsidR="00D30CC7" w:rsidRPr="00FB3EA0" w:rsidRDefault="00510C60">
      <w:pPr>
        <w:numPr>
          <w:ilvl w:val="0"/>
          <w:numId w:val="3"/>
        </w:numPr>
        <w:ind w:hanging="424"/>
        <w:rPr>
          <w:rFonts w:asciiTheme="majorHAnsi" w:hAnsiTheme="majorHAnsi"/>
        </w:rPr>
      </w:pPr>
      <w:hyperlink r:id="rId10" w:history="1">
        <w:r w:rsidRPr="00FB3EA0">
          <w:rPr>
            <w:rFonts w:asciiTheme="majorHAnsi" w:hAnsiTheme="majorHAnsi"/>
            <w:color w:val="0072CC"/>
            <w:u w:val="single" w:color="0072CC"/>
            <w:lang w:val="en-GB" w:eastAsia="en-GB"/>
          </w:rPr>
          <w:t>The</w:t>
        </w:r>
        <w:bookmarkStart w:id="18" w:name="_Hlt102643034"/>
        <w:bookmarkStart w:id="19" w:name="_Hlt102643035"/>
        <w:bookmarkEnd w:id="18"/>
        <w:bookmarkEnd w:id="19"/>
        <w:r w:rsidRPr="00FB3EA0">
          <w:rPr>
            <w:rFonts w:asciiTheme="majorHAnsi" w:hAnsiTheme="majorHAnsi"/>
            <w:color w:val="0072CC"/>
            <w:u w:val="single" w:color="0072CC"/>
            <w:lang w:val="en-GB" w:eastAsia="en-GB"/>
          </w:rPr>
          <w:t xml:space="preserve"> Education (Induction Arrangements for</w:t>
        </w:r>
        <w:bookmarkStart w:id="20" w:name="_Hlt141190488"/>
        <w:bookmarkStart w:id="21" w:name="_Hlt141190489"/>
        <w:r w:rsidRPr="00FB3EA0">
          <w:rPr>
            <w:rFonts w:asciiTheme="majorHAnsi" w:hAnsiTheme="majorHAnsi"/>
            <w:color w:val="0072CC"/>
            <w:u w:val="single" w:color="0072CC"/>
            <w:lang w:val="en-GB" w:eastAsia="en-GB"/>
          </w:rPr>
          <w:t xml:space="preserve"> </w:t>
        </w:r>
        <w:bookmarkStart w:id="22" w:name="_Hlt141190492"/>
        <w:bookmarkStart w:id="23" w:name="_Hlt141190493"/>
        <w:bookmarkEnd w:id="20"/>
        <w:bookmarkEnd w:id="21"/>
        <w:r w:rsidRPr="00FB3EA0">
          <w:rPr>
            <w:rFonts w:asciiTheme="majorHAnsi" w:hAnsiTheme="majorHAnsi"/>
            <w:color w:val="0072CC"/>
            <w:u w:val="single" w:color="0072CC"/>
            <w:lang w:val="en-GB" w:eastAsia="en-GB"/>
          </w:rPr>
          <w:t>S</w:t>
        </w:r>
        <w:bookmarkEnd w:id="22"/>
        <w:bookmarkEnd w:id="23"/>
        <w:r w:rsidRPr="00FB3EA0">
          <w:rPr>
            <w:rFonts w:asciiTheme="majorHAnsi" w:hAnsiTheme="majorHAnsi"/>
            <w:color w:val="0072CC"/>
            <w:u w:val="single" w:color="0072CC"/>
            <w:lang w:val="en-GB" w:eastAsia="en-GB"/>
          </w:rPr>
          <w:t>chool Teachers) (England) Regulations 2012</w:t>
        </w:r>
      </w:hyperlink>
    </w:p>
    <w:p w14:paraId="7F870872" w14:textId="77777777" w:rsidR="00D30CC7" w:rsidRPr="00FB3EA0" w:rsidRDefault="00510C60">
      <w:pPr>
        <w:rPr>
          <w:rFonts w:asciiTheme="majorHAnsi" w:hAnsiTheme="majorHAnsi"/>
        </w:rPr>
      </w:pPr>
      <w:r w:rsidRPr="00FB3EA0">
        <w:rPr>
          <w:rFonts w:asciiTheme="majorHAnsi" w:hAnsiTheme="majorHAnsi"/>
          <w:lang w:val="en-GB" w:eastAsia="en-GB"/>
        </w:rPr>
        <w:t xml:space="preserve">The ‘relevant standards’ referred to below are the </w:t>
      </w:r>
      <w:hyperlink r:id="rId11" w:history="1">
        <w:r w:rsidRPr="00FB3EA0">
          <w:rPr>
            <w:rFonts w:asciiTheme="majorHAnsi" w:hAnsiTheme="majorHAnsi"/>
            <w:color w:val="0072CC"/>
            <w:u w:val="single" w:color="0072CC"/>
            <w:lang w:val="en-GB" w:eastAsia="en-GB"/>
          </w:rPr>
          <w:t>Teachers’ S</w:t>
        </w:r>
        <w:bookmarkStart w:id="24" w:name="_Hlt102643056"/>
        <w:bookmarkStart w:id="25" w:name="_Hlt102643057"/>
        <w:bookmarkEnd w:id="24"/>
        <w:bookmarkEnd w:id="25"/>
        <w:r w:rsidRPr="00FB3EA0">
          <w:rPr>
            <w:rFonts w:asciiTheme="majorHAnsi" w:hAnsiTheme="majorHAnsi"/>
            <w:color w:val="0072CC"/>
            <w:u w:val="single" w:color="0072CC"/>
            <w:lang w:val="en-GB" w:eastAsia="en-GB"/>
          </w:rPr>
          <w:t>tandards</w:t>
        </w:r>
      </w:hyperlink>
      <w:r w:rsidRPr="00FB3EA0">
        <w:rPr>
          <w:rFonts w:asciiTheme="majorHAnsi" w:hAnsiTheme="majorHAnsi"/>
          <w:lang w:val="en-GB" w:eastAsia="en-GB"/>
        </w:rPr>
        <w:t>.</w:t>
      </w:r>
    </w:p>
    <w:p w14:paraId="7F870873" w14:textId="77777777" w:rsidR="00D30CC7" w:rsidRPr="00FB3EA0" w:rsidRDefault="00510C60">
      <w:pPr>
        <w:pStyle w:val="Heading1"/>
        <w:rPr>
          <w:rFonts w:asciiTheme="majorHAnsi" w:hAnsiTheme="majorHAnsi"/>
        </w:rPr>
      </w:pPr>
      <w:bookmarkStart w:id="26" w:name="_Toc25836418"/>
      <w:bookmarkStart w:id="27" w:name="_Toc71203492"/>
      <w:bookmarkStart w:id="28" w:name="_Toc177995300"/>
      <w:r w:rsidRPr="00FB3EA0">
        <w:rPr>
          <w:rFonts w:asciiTheme="majorHAnsi" w:eastAsia="Arial" w:hAnsiTheme="majorHAnsi"/>
          <w:szCs w:val="28"/>
          <w:lang w:val="en-GB" w:eastAsia="en-GB"/>
        </w:rPr>
        <w:t>4. The ECT induction programme</w:t>
      </w:r>
      <w:bookmarkEnd w:id="26"/>
      <w:bookmarkEnd w:id="27"/>
      <w:bookmarkEnd w:id="28"/>
    </w:p>
    <w:p w14:paraId="7F870874"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The induction programme will be underpinned by the ECF, enabling ECTs to understand and apply the knowledge and skills set out in the ECF.</w:t>
      </w:r>
    </w:p>
    <w:p w14:paraId="7F870875" w14:textId="77777777" w:rsidR="00D30CC7" w:rsidRPr="00FB3EA0" w:rsidRDefault="00510C60">
      <w:pPr>
        <w:rPr>
          <w:rFonts w:asciiTheme="majorHAnsi" w:hAnsiTheme="majorHAnsi"/>
          <w:lang w:eastAsia="en-GB"/>
        </w:rPr>
      </w:pPr>
      <w:r w:rsidRPr="00FB3EA0">
        <w:rPr>
          <w:rFonts w:asciiTheme="majorHAnsi" w:hAnsiTheme="majorHAnsi"/>
          <w:lang w:eastAsia="en-GB"/>
        </w:rPr>
        <w:t xml:space="preserve">Prior to the ECT serving their induction, the headteacher and appropriate body must agree that the post is suitable. </w:t>
      </w:r>
    </w:p>
    <w:p w14:paraId="7F870876" w14:textId="77777777" w:rsidR="00D30CC7" w:rsidRPr="00FB3EA0" w:rsidRDefault="00510C60">
      <w:pPr>
        <w:rPr>
          <w:rFonts w:asciiTheme="majorHAnsi" w:hAnsiTheme="majorHAnsi"/>
        </w:rPr>
      </w:pPr>
      <w:r w:rsidRPr="00FB3EA0">
        <w:rPr>
          <w:rFonts w:asciiTheme="majorHAnsi" w:hAnsiTheme="majorHAnsi"/>
          <w:lang w:val="en-GB" w:eastAsia="en-GB"/>
        </w:rPr>
        <w:t xml:space="preserve">For a full-time ECT, the induction </w:t>
      </w:r>
      <w:r w:rsidRPr="00FB3EA0">
        <w:rPr>
          <w:rFonts w:asciiTheme="majorHAnsi" w:hAnsiTheme="majorHAnsi"/>
          <w:lang w:eastAsia="en-GB"/>
        </w:rPr>
        <w:t>period</w:t>
      </w:r>
      <w:r w:rsidRPr="00FB3EA0">
        <w:rPr>
          <w:rFonts w:asciiTheme="majorHAnsi" w:hAnsiTheme="majorHAnsi"/>
          <w:lang w:val="en-GB" w:eastAsia="en-GB"/>
        </w:rPr>
        <w:t xml:space="preserve"> will typically last for 2 academic years. Part-time ECTs will serve a full-time equivalent.</w:t>
      </w:r>
      <w:r w:rsidRPr="00FB3EA0">
        <w:rPr>
          <w:rFonts w:asciiTheme="majorHAnsi" w:hAnsiTheme="majorHAnsi"/>
          <w:lang w:eastAsia="en-GB"/>
        </w:rPr>
        <w:t xml:space="preserve"> Up to 1 term of continuous employment may count towards completion of the induction period.</w:t>
      </w:r>
    </w:p>
    <w:p w14:paraId="7F870877"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The programme is quality assured by Kent School Hub, our ‘appropriate body’.</w:t>
      </w:r>
    </w:p>
    <w:p w14:paraId="7F870878" w14:textId="77777777" w:rsidR="00D30CC7" w:rsidRPr="00940110" w:rsidRDefault="00510C60">
      <w:pPr>
        <w:spacing w:before="240"/>
        <w:rPr>
          <w:rFonts w:asciiTheme="majorHAnsi" w:hAnsiTheme="majorHAnsi"/>
        </w:rPr>
      </w:pPr>
      <w:r w:rsidRPr="00940110">
        <w:rPr>
          <w:rFonts w:asciiTheme="majorHAnsi" w:hAnsiTheme="majorHAnsi"/>
          <w:color w:val="12263F"/>
          <w:sz w:val="24"/>
          <w:lang w:val="en-GB" w:eastAsia="en-GB"/>
        </w:rPr>
        <w:t>4.1 Posts for induction</w:t>
      </w:r>
    </w:p>
    <w:p w14:paraId="7F870879"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Each ECT will:</w:t>
      </w:r>
    </w:p>
    <w:p w14:paraId="7F87087A" w14:textId="77777777" w:rsidR="00D30CC7" w:rsidRPr="00FB3EA0" w:rsidRDefault="00510C60">
      <w:pPr>
        <w:numPr>
          <w:ilvl w:val="0"/>
          <w:numId w:val="4"/>
        </w:numPr>
        <w:ind w:left="340" w:hanging="261"/>
        <w:rPr>
          <w:rFonts w:asciiTheme="majorHAnsi" w:hAnsiTheme="majorHAnsi"/>
        </w:rPr>
      </w:pPr>
      <w:r w:rsidRPr="00FB3EA0">
        <w:rPr>
          <w:rFonts w:asciiTheme="majorHAnsi" w:hAnsiTheme="majorHAnsi"/>
          <w:lang w:val="en-GB" w:eastAsia="en-GB"/>
        </w:rPr>
        <w:t>Be provided with the necessary employment tasks, experience and support to enable them to demonstrate satisfactory performance against the relevant standards throughout, and by the end of, the induction period</w:t>
      </w:r>
    </w:p>
    <w:p w14:paraId="7F87087B" w14:textId="77777777" w:rsidR="00D30CC7" w:rsidRPr="00FB3EA0" w:rsidRDefault="00510C60">
      <w:pPr>
        <w:numPr>
          <w:ilvl w:val="0"/>
          <w:numId w:val="4"/>
        </w:numPr>
        <w:ind w:left="340" w:hanging="261"/>
        <w:rPr>
          <w:rFonts w:asciiTheme="majorHAnsi" w:hAnsiTheme="majorHAnsi"/>
        </w:rPr>
      </w:pPr>
      <w:r w:rsidRPr="00FB3EA0">
        <w:rPr>
          <w:rFonts w:asciiTheme="majorHAnsi" w:hAnsiTheme="majorHAnsi"/>
          <w:lang w:val="en-GB" w:eastAsia="en-GB"/>
        </w:rPr>
        <w:t>Have an appointed induction tutor, who will have qualified teacher status (QTS)</w:t>
      </w:r>
    </w:p>
    <w:p w14:paraId="7F87087C" w14:textId="77777777" w:rsidR="00D30CC7" w:rsidRPr="00FB3EA0" w:rsidRDefault="00510C60">
      <w:pPr>
        <w:numPr>
          <w:ilvl w:val="0"/>
          <w:numId w:val="4"/>
        </w:numPr>
        <w:ind w:left="340" w:hanging="261"/>
        <w:rPr>
          <w:rFonts w:asciiTheme="majorHAnsi" w:hAnsiTheme="majorHAnsi"/>
        </w:rPr>
      </w:pPr>
      <w:r w:rsidRPr="00FB3EA0">
        <w:rPr>
          <w:rFonts w:asciiTheme="majorHAnsi" w:hAnsiTheme="majorHAnsi"/>
          <w:lang w:val="en-GB" w:eastAsia="en-GB"/>
        </w:rPr>
        <w:t>Have an appointed induction mentor, who will have QTS</w:t>
      </w:r>
    </w:p>
    <w:p w14:paraId="7F87087D" w14:textId="77777777" w:rsidR="00D30CC7" w:rsidRPr="00FB3EA0" w:rsidRDefault="00510C60">
      <w:pPr>
        <w:numPr>
          <w:ilvl w:val="0"/>
          <w:numId w:val="4"/>
        </w:numPr>
        <w:ind w:left="340" w:hanging="261"/>
        <w:rPr>
          <w:rFonts w:asciiTheme="majorHAnsi" w:hAnsiTheme="majorHAnsi"/>
        </w:rPr>
      </w:pPr>
      <w:r w:rsidRPr="00FB3EA0">
        <w:rPr>
          <w:rFonts w:asciiTheme="majorHAnsi" w:hAnsiTheme="majorHAnsi"/>
          <w:lang w:val="en-GB" w:eastAsia="en-GB"/>
        </w:rPr>
        <w:lastRenderedPageBreak/>
        <w:t>Have a reduced timetable to allow them to undertake activities in their induction programme; in their first year, this will be no more than 90% of the timetable of our existing teachers on the main pay range, and in their second year, this will be no more than 95% of the timetable of our existing teachers on the main pay range</w:t>
      </w:r>
    </w:p>
    <w:p w14:paraId="7F87087E" w14:textId="77777777" w:rsidR="00D30CC7" w:rsidRPr="00FB3EA0" w:rsidRDefault="00510C60">
      <w:pPr>
        <w:numPr>
          <w:ilvl w:val="0"/>
          <w:numId w:val="4"/>
        </w:numPr>
        <w:ind w:left="340" w:hanging="261"/>
        <w:rPr>
          <w:rFonts w:asciiTheme="majorHAnsi" w:hAnsiTheme="majorHAnsi"/>
        </w:rPr>
      </w:pPr>
      <w:r w:rsidRPr="00FB3EA0">
        <w:rPr>
          <w:rFonts w:asciiTheme="majorHAnsi" w:hAnsiTheme="majorHAnsi"/>
          <w:lang w:val="en-GB" w:eastAsia="en-GB"/>
        </w:rPr>
        <w:t>Regularly teach the same class or classes</w:t>
      </w:r>
    </w:p>
    <w:p w14:paraId="7F87087F" w14:textId="77777777" w:rsidR="00D30CC7" w:rsidRPr="00FB3EA0" w:rsidRDefault="00510C60">
      <w:pPr>
        <w:numPr>
          <w:ilvl w:val="0"/>
          <w:numId w:val="4"/>
        </w:numPr>
        <w:ind w:left="340" w:hanging="261"/>
        <w:rPr>
          <w:rFonts w:asciiTheme="majorHAnsi" w:hAnsiTheme="majorHAnsi"/>
        </w:rPr>
      </w:pPr>
      <w:r w:rsidRPr="00FB3EA0">
        <w:rPr>
          <w:rFonts w:asciiTheme="majorHAnsi" w:hAnsiTheme="majorHAnsi"/>
          <w:lang w:val="en-GB" w:eastAsia="en-GB"/>
        </w:rPr>
        <w:t>Take part in similar planning, teaching and assessment processes to other teachers working in similar posts</w:t>
      </w:r>
    </w:p>
    <w:p w14:paraId="7F870880" w14:textId="77777777" w:rsidR="00D30CC7" w:rsidRPr="00FB3EA0" w:rsidRDefault="00510C60">
      <w:pPr>
        <w:numPr>
          <w:ilvl w:val="0"/>
          <w:numId w:val="4"/>
        </w:numPr>
        <w:ind w:left="340" w:hanging="261"/>
        <w:rPr>
          <w:rFonts w:asciiTheme="majorHAnsi" w:hAnsiTheme="majorHAnsi"/>
        </w:rPr>
      </w:pPr>
      <w:r w:rsidRPr="00FB3EA0">
        <w:rPr>
          <w:rFonts w:asciiTheme="majorHAnsi" w:hAnsiTheme="majorHAnsi"/>
          <w:lang w:val="en-GB" w:eastAsia="en-GB"/>
        </w:rPr>
        <w:t>Not be given additional non-teaching responsibilities without appropriate preparation and support</w:t>
      </w:r>
    </w:p>
    <w:p w14:paraId="7F870881" w14:textId="77777777" w:rsidR="00D30CC7" w:rsidRPr="00FB3EA0" w:rsidRDefault="00510C60">
      <w:pPr>
        <w:numPr>
          <w:ilvl w:val="0"/>
          <w:numId w:val="4"/>
        </w:numPr>
        <w:ind w:left="340" w:hanging="261"/>
        <w:rPr>
          <w:rFonts w:asciiTheme="majorHAnsi" w:hAnsiTheme="majorHAnsi"/>
        </w:rPr>
      </w:pPr>
      <w:r w:rsidRPr="00FB3EA0">
        <w:rPr>
          <w:rFonts w:asciiTheme="majorHAnsi" w:hAnsiTheme="majorHAnsi"/>
          <w:lang w:val="en-GB" w:eastAsia="en-GB"/>
        </w:rPr>
        <w:t>Not have unreasonable demands made upon them</w:t>
      </w:r>
    </w:p>
    <w:p w14:paraId="7F870882" w14:textId="77777777" w:rsidR="00D30CC7" w:rsidRPr="00FB3EA0" w:rsidRDefault="00510C60">
      <w:pPr>
        <w:numPr>
          <w:ilvl w:val="0"/>
          <w:numId w:val="4"/>
        </w:numPr>
        <w:ind w:left="340" w:hanging="261"/>
        <w:rPr>
          <w:rFonts w:asciiTheme="majorHAnsi" w:hAnsiTheme="majorHAnsi"/>
        </w:rPr>
      </w:pPr>
      <w:r w:rsidRPr="00FB3EA0">
        <w:rPr>
          <w:rFonts w:asciiTheme="majorHAnsi" w:hAnsiTheme="majorHAnsi"/>
          <w:lang w:val="en-GB" w:eastAsia="en-GB"/>
        </w:rPr>
        <w:t>Not normally teach outside the age range and/or subjects they have been employed to teach</w:t>
      </w:r>
    </w:p>
    <w:p w14:paraId="7F870883" w14:textId="77777777" w:rsidR="00D30CC7" w:rsidRPr="00FB3EA0" w:rsidRDefault="00510C60">
      <w:pPr>
        <w:numPr>
          <w:ilvl w:val="0"/>
          <w:numId w:val="4"/>
        </w:numPr>
        <w:ind w:left="340" w:hanging="261"/>
        <w:rPr>
          <w:rFonts w:asciiTheme="majorHAnsi" w:hAnsiTheme="majorHAnsi"/>
        </w:rPr>
      </w:pPr>
      <w:r w:rsidRPr="00FB3EA0">
        <w:rPr>
          <w:rFonts w:asciiTheme="majorHAnsi" w:hAnsiTheme="majorHAnsi"/>
          <w:lang w:val="en-GB" w:eastAsia="en-GB"/>
        </w:rPr>
        <w:t>Not be presented with unreasonably demanding pupil discipline problems on a day-to-day basis</w:t>
      </w:r>
    </w:p>
    <w:p w14:paraId="7F870884" w14:textId="77777777" w:rsidR="00D30CC7" w:rsidRPr="00940110" w:rsidRDefault="00510C60">
      <w:pPr>
        <w:spacing w:before="240"/>
        <w:rPr>
          <w:rFonts w:asciiTheme="majorHAnsi" w:hAnsiTheme="majorHAnsi"/>
        </w:rPr>
      </w:pPr>
      <w:r w:rsidRPr="00940110">
        <w:rPr>
          <w:rFonts w:asciiTheme="majorHAnsi" w:hAnsiTheme="majorHAnsi"/>
          <w:color w:val="12263F"/>
          <w:sz w:val="24"/>
          <w:lang w:val="en-GB" w:eastAsia="en-GB"/>
        </w:rPr>
        <w:t>4.2 Support for ECTs</w:t>
      </w:r>
    </w:p>
    <w:p w14:paraId="7F870885"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We support ECTs with:</w:t>
      </w:r>
    </w:p>
    <w:p w14:paraId="7F870886" w14:textId="77777777" w:rsidR="00D30CC7" w:rsidRPr="00FB3EA0" w:rsidRDefault="00510C60">
      <w:pPr>
        <w:numPr>
          <w:ilvl w:val="0"/>
          <w:numId w:val="5"/>
        </w:numPr>
        <w:ind w:left="340" w:hanging="261"/>
        <w:rPr>
          <w:rFonts w:asciiTheme="majorHAnsi" w:hAnsiTheme="majorHAnsi"/>
        </w:rPr>
      </w:pPr>
      <w:r w:rsidRPr="00FB3EA0">
        <w:rPr>
          <w:rFonts w:asciiTheme="majorHAnsi" w:hAnsiTheme="majorHAnsi"/>
          <w:lang w:val="en-GB" w:eastAsia="en-GB"/>
        </w:rPr>
        <w:t>Their designated induction tutor, who will provide day-to-day monitoring and support, and co-ordinate their assessments</w:t>
      </w:r>
    </w:p>
    <w:p w14:paraId="7F870887" w14:textId="77777777" w:rsidR="00D30CC7" w:rsidRPr="00FB3EA0" w:rsidRDefault="00510C60">
      <w:pPr>
        <w:numPr>
          <w:ilvl w:val="0"/>
          <w:numId w:val="5"/>
        </w:numPr>
        <w:ind w:left="340" w:hanging="261"/>
        <w:rPr>
          <w:rFonts w:asciiTheme="majorHAnsi" w:hAnsiTheme="majorHAnsi"/>
        </w:rPr>
      </w:pPr>
      <w:r w:rsidRPr="00FB3EA0">
        <w:rPr>
          <w:rFonts w:asciiTheme="majorHAnsi" w:hAnsiTheme="majorHAnsi"/>
          <w:lang w:val="en-GB" w:eastAsia="en-GB"/>
        </w:rPr>
        <w:t>Their designated induction mentor, who will provide regular structured mentoring sessions and targeted feedback</w:t>
      </w:r>
    </w:p>
    <w:p w14:paraId="7F870888" w14:textId="77777777" w:rsidR="00D30CC7" w:rsidRPr="00FB3EA0" w:rsidRDefault="00510C60">
      <w:pPr>
        <w:numPr>
          <w:ilvl w:val="0"/>
          <w:numId w:val="5"/>
        </w:numPr>
        <w:ind w:left="340" w:hanging="261"/>
        <w:rPr>
          <w:rFonts w:asciiTheme="majorHAnsi" w:hAnsiTheme="majorHAnsi"/>
        </w:rPr>
      </w:pPr>
      <w:r w:rsidRPr="00FB3EA0">
        <w:rPr>
          <w:rFonts w:asciiTheme="majorHAnsi" w:hAnsiTheme="majorHAnsi"/>
          <w:lang w:val="en-GB" w:eastAsia="en-GB"/>
        </w:rPr>
        <w:t xml:space="preserve">Observations of their teaching at regular intervals, and follow-up discussions with prompt and constructive feedback </w:t>
      </w:r>
    </w:p>
    <w:p w14:paraId="7F870889" w14:textId="77777777" w:rsidR="00D30CC7" w:rsidRPr="00FB3EA0" w:rsidRDefault="00510C60">
      <w:pPr>
        <w:numPr>
          <w:ilvl w:val="0"/>
          <w:numId w:val="5"/>
        </w:numPr>
        <w:ind w:left="340" w:hanging="261"/>
        <w:rPr>
          <w:rFonts w:asciiTheme="majorHAnsi" w:hAnsiTheme="majorHAnsi"/>
        </w:rPr>
      </w:pPr>
      <w:r w:rsidRPr="00FB3EA0">
        <w:rPr>
          <w:rFonts w:asciiTheme="majorHAnsi" w:hAnsiTheme="majorHAnsi"/>
          <w:lang w:val="en-GB" w:eastAsia="en-GB"/>
        </w:rPr>
        <w:t>Regular professional reviews of their progress, to take place termly (except in terms where formal assessment is held), at which their induction tutor will review objectives and revise them in relation to the relevant standards and their current needs and strengths</w:t>
      </w:r>
    </w:p>
    <w:p w14:paraId="7F87088A" w14:textId="77777777" w:rsidR="00D30CC7" w:rsidRPr="00FB3EA0" w:rsidRDefault="00510C60">
      <w:pPr>
        <w:numPr>
          <w:ilvl w:val="0"/>
          <w:numId w:val="5"/>
        </w:numPr>
        <w:ind w:left="340" w:hanging="261"/>
        <w:rPr>
          <w:rFonts w:asciiTheme="majorHAnsi" w:hAnsiTheme="majorHAnsi"/>
        </w:rPr>
      </w:pPr>
      <w:r w:rsidRPr="00FB3EA0">
        <w:rPr>
          <w:rFonts w:asciiTheme="majorHAnsi" w:hAnsiTheme="majorHAnsi"/>
          <w:lang w:val="en-GB" w:eastAsia="en-GB"/>
        </w:rPr>
        <w:t>Chances to observe experienced teachers, either within the school or at another school with effective practice</w:t>
      </w:r>
    </w:p>
    <w:p w14:paraId="7F87088B" w14:textId="77777777" w:rsidR="00D30CC7" w:rsidRPr="00FB3EA0" w:rsidRDefault="00510C60">
      <w:pPr>
        <w:spacing w:before="240"/>
        <w:rPr>
          <w:rFonts w:asciiTheme="majorHAnsi" w:hAnsiTheme="majorHAnsi"/>
        </w:rPr>
      </w:pPr>
      <w:r w:rsidRPr="00FB3EA0">
        <w:rPr>
          <w:rFonts w:asciiTheme="majorHAnsi" w:hAnsiTheme="majorHAnsi"/>
          <w:b/>
          <w:bCs/>
          <w:color w:val="12263F"/>
          <w:sz w:val="24"/>
          <w:lang w:val="en-GB" w:eastAsia="en-GB"/>
        </w:rPr>
        <w:t>4.3 Assessments of ECT performance</w:t>
      </w:r>
    </w:p>
    <w:p w14:paraId="7F87088C"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ECTs are exempt from normal appraisal procedures during their induction period.</w:t>
      </w:r>
    </w:p>
    <w:p w14:paraId="7F87088D"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Formal assessment meetings will take place in the final term of the ECT’s first year (term 3) and the final term of their second year (term 6), and will be carried out by Sophie Chidwick, Assistant Head.</w:t>
      </w:r>
    </w:p>
    <w:p w14:paraId="7F87088E"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 xml:space="preserve">These meetings will be informed by clear and transparent evidence gathered from progress reviews during the preceding assessment period, and drawn from the ECT’s work as a teacher and from their induction programme. Copies of the evidence relied on will be provided to the ECT and the appropriate body. </w:t>
      </w:r>
    </w:p>
    <w:p w14:paraId="7F87088F"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After each formal assessment meeting, a formal assessment report will be completed that clearly shows how the ECT is performing against the relevant standards. The headteacher will also recommend to the appropriate body in the final assessment report at the end of the programme as to whether the ECT’s performance is satisfactory against the relevant standards.</w:t>
      </w:r>
    </w:p>
    <w:p w14:paraId="7F870890"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The ECT will add their own comments, and the formal assessment report will be signed by the headteacher, induction tutor and the ECT.</w:t>
      </w:r>
    </w:p>
    <w:p w14:paraId="7F870891"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A copy of the formal assessment report will then be sent to the appropriate body. The final assessment report will be sent within 10 working days of the meeting, for the appropriate body to make the final decision on whether the ECT has passed their induction period.</w:t>
      </w:r>
    </w:p>
    <w:p w14:paraId="7F870892" w14:textId="77777777" w:rsidR="00D30CC7" w:rsidRPr="00FB3EA0" w:rsidRDefault="00510C60">
      <w:pPr>
        <w:spacing w:before="120"/>
        <w:rPr>
          <w:rFonts w:asciiTheme="majorHAnsi" w:hAnsiTheme="majorHAnsi"/>
          <w:lang w:eastAsia="en-GB"/>
        </w:rPr>
      </w:pPr>
      <w:r w:rsidRPr="00FB3EA0">
        <w:rPr>
          <w:rFonts w:asciiTheme="majorHAnsi" w:hAnsiTheme="majorHAnsi"/>
          <w:lang w:eastAsia="en-GB"/>
        </w:rPr>
        <w:t>In the event that the ECT leaves this post after completing 1 term or more but before the next formal assessment would take place, the induction tutor or headteacher should complete an interim assessment to ensure that the ECT’s progress and performance since the last assessment is captured.</w:t>
      </w:r>
    </w:p>
    <w:p w14:paraId="7F870893" w14:textId="77777777" w:rsidR="00D30CC7" w:rsidRPr="00FB3EA0" w:rsidRDefault="00510C60">
      <w:pPr>
        <w:spacing w:before="240"/>
        <w:rPr>
          <w:rFonts w:asciiTheme="majorHAnsi" w:hAnsiTheme="majorHAnsi"/>
        </w:rPr>
      </w:pPr>
      <w:r w:rsidRPr="00FB3EA0">
        <w:rPr>
          <w:rFonts w:asciiTheme="majorHAnsi" w:hAnsiTheme="majorHAnsi"/>
          <w:b/>
          <w:bCs/>
          <w:color w:val="12263F"/>
          <w:sz w:val="24"/>
          <w:lang w:val="en-GB" w:eastAsia="en-GB"/>
        </w:rPr>
        <w:t>4.4 At-risk procedures</w:t>
      </w:r>
    </w:p>
    <w:p w14:paraId="7F870894"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If it becomes clear during a termly progress review or at the first formal assessment point that the ECT is not making sufficient progress, additional monitoring and support measures will be put in place immediately, meaning:</w:t>
      </w:r>
    </w:p>
    <w:p w14:paraId="7F870895" w14:textId="77777777" w:rsidR="00D30CC7" w:rsidRPr="00FB3EA0" w:rsidRDefault="00510C60">
      <w:pPr>
        <w:numPr>
          <w:ilvl w:val="0"/>
          <w:numId w:val="6"/>
        </w:numPr>
        <w:ind w:left="340" w:hanging="261"/>
        <w:rPr>
          <w:rFonts w:asciiTheme="majorHAnsi" w:hAnsiTheme="majorHAnsi"/>
        </w:rPr>
      </w:pPr>
      <w:r w:rsidRPr="00FB3EA0">
        <w:rPr>
          <w:rFonts w:asciiTheme="majorHAnsi" w:hAnsiTheme="majorHAnsi"/>
          <w:lang w:val="en-GB" w:eastAsia="en-GB"/>
        </w:rPr>
        <w:lastRenderedPageBreak/>
        <w:t>Areas in which improvement is needed are identified</w:t>
      </w:r>
    </w:p>
    <w:p w14:paraId="7F870896" w14:textId="77777777" w:rsidR="00D30CC7" w:rsidRPr="00FB3EA0" w:rsidRDefault="00510C60">
      <w:pPr>
        <w:numPr>
          <w:ilvl w:val="0"/>
          <w:numId w:val="6"/>
        </w:numPr>
        <w:ind w:left="340" w:hanging="261"/>
        <w:rPr>
          <w:rFonts w:asciiTheme="majorHAnsi" w:hAnsiTheme="majorHAnsi"/>
        </w:rPr>
      </w:pPr>
      <w:r w:rsidRPr="00FB3EA0">
        <w:rPr>
          <w:rFonts w:asciiTheme="majorHAnsi" w:hAnsiTheme="majorHAnsi"/>
          <w:lang w:val="en-GB" w:eastAsia="en-GB"/>
        </w:rPr>
        <w:t>Appropriate objectives are set to guide the ECT towards satisfactory performance against the relevant standards</w:t>
      </w:r>
    </w:p>
    <w:p w14:paraId="7F870897" w14:textId="77777777" w:rsidR="00D30CC7" w:rsidRPr="00FB3EA0" w:rsidRDefault="00510C60">
      <w:pPr>
        <w:numPr>
          <w:ilvl w:val="0"/>
          <w:numId w:val="6"/>
        </w:numPr>
        <w:ind w:left="340" w:hanging="261"/>
        <w:rPr>
          <w:rFonts w:asciiTheme="majorHAnsi" w:hAnsiTheme="majorHAnsi"/>
        </w:rPr>
      </w:pPr>
      <w:r w:rsidRPr="00FB3EA0">
        <w:rPr>
          <w:rFonts w:asciiTheme="majorHAnsi" w:hAnsiTheme="majorHAnsi"/>
          <w:lang w:val="en-GB" w:eastAsia="en-GB"/>
        </w:rPr>
        <w:t>An effective support programme is put in place to help the ECT improve their performance</w:t>
      </w:r>
    </w:p>
    <w:p w14:paraId="7F870898" w14:textId="77777777" w:rsidR="00D30CC7" w:rsidRPr="00FB3EA0" w:rsidRDefault="00510C60">
      <w:pPr>
        <w:rPr>
          <w:rFonts w:asciiTheme="majorHAnsi" w:hAnsiTheme="majorHAnsi"/>
        </w:rPr>
      </w:pPr>
      <w:r w:rsidRPr="00FB3EA0">
        <w:rPr>
          <w:rFonts w:asciiTheme="majorHAnsi" w:hAnsiTheme="majorHAnsi"/>
          <w:lang w:val="en-GB" w:eastAsia="en-GB"/>
        </w:rPr>
        <w:t>The progress review record or formal assessment report will be shared with the appropriate body, alongside the support plan, for it to review.</w:t>
      </w:r>
    </w:p>
    <w:p w14:paraId="7F870899"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If there are concerns about the ECT’s progress during their subsequent progress reviews or formal assessment, as long as it is not the final formal assessment, the induction tutor or headteacher will:</w:t>
      </w:r>
    </w:p>
    <w:p w14:paraId="7F87089A" w14:textId="77777777" w:rsidR="00D30CC7" w:rsidRPr="00FB3EA0" w:rsidRDefault="00510C60">
      <w:pPr>
        <w:pStyle w:val="4Bulletedcopyblue"/>
        <w:rPr>
          <w:rFonts w:asciiTheme="majorHAnsi" w:hAnsiTheme="majorHAnsi"/>
          <w:lang w:val="en-GB" w:eastAsia="en-GB"/>
        </w:rPr>
      </w:pPr>
      <w:r w:rsidRPr="00FB3EA0">
        <w:rPr>
          <w:rFonts w:asciiTheme="majorHAnsi" w:hAnsiTheme="majorHAnsi"/>
          <w:lang w:val="en-GB" w:eastAsia="en-GB"/>
        </w:rPr>
        <w:t xml:space="preserve">Continue to deliver process reviews </w:t>
      </w:r>
    </w:p>
    <w:p w14:paraId="7F87089B" w14:textId="77777777" w:rsidR="00D30CC7" w:rsidRPr="00FB3EA0" w:rsidRDefault="00510C60">
      <w:pPr>
        <w:pStyle w:val="4Bulletedcopyblue"/>
        <w:rPr>
          <w:rFonts w:asciiTheme="majorHAnsi" w:hAnsiTheme="majorHAnsi"/>
          <w:lang w:val="en-GB" w:eastAsia="en-GB"/>
        </w:rPr>
      </w:pPr>
      <w:r w:rsidRPr="00FB3EA0">
        <w:rPr>
          <w:rFonts w:asciiTheme="majorHAnsi" w:hAnsiTheme="majorHAnsi"/>
          <w:lang w:val="en-GB" w:eastAsia="en-GB"/>
        </w:rPr>
        <w:t>Revise the ECT’s objectives and support plan in line with the Teachers’ Standards</w:t>
      </w:r>
    </w:p>
    <w:p w14:paraId="7F87089C" w14:textId="77777777" w:rsidR="00D30CC7" w:rsidRPr="00FB3EA0" w:rsidRDefault="00510C60">
      <w:pPr>
        <w:pStyle w:val="4Bulletedcopyblue"/>
        <w:rPr>
          <w:rFonts w:asciiTheme="majorHAnsi" w:hAnsiTheme="majorHAnsi"/>
          <w:lang w:val="en-GB" w:eastAsia="en-GB"/>
        </w:rPr>
      </w:pPr>
      <w:r w:rsidRPr="00FB3EA0">
        <w:rPr>
          <w:rFonts w:asciiTheme="majorHAnsi" w:hAnsiTheme="majorHAnsi"/>
          <w:lang w:val="en-GB" w:eastAsia="en-GB"/>
        </w:rPr>
        <w:t>Share these with the ECT, headteacher and appropriate body</w:t>
      </w:r>
    </w:p>
    <w:p w14:paraId="7F87089D" w14:textId="77777777" w:rsidR="00D30CC7" w:rsidRPr="00FB3EA0" w:rsidRDefault="00510C60">
      <w:pPr>
        <w:pStyle w:val="Subhead2"/>
        <w:rPr>
          <w:rFonts w:asciiTheme="majorHAnsi" w:hAnsiTheme="majorHAnsi"/>
          <w:lang w:val="en-GB" w:eastAsia="en-GB"/>
        </w:rPr>
      </w:pPr>
      <w:r w:rsidRPr="00FB3EA0">
        <w:rPr>
          <w:rFonts w:asciiTheme="majorHAnsi" w:hAnsiTheme="majorHAnsi"/>
          <w:lang w:val="en-GB" w:eastAsia="en-GB"/>
        </w:rPr>
        <w:t>4.5 Capability procedures</w:t>
      </w:r>
    </w:p>
    <w:p w14:paraId="7F87089E" w14:textId="77777777" w:rsidR="00D30CC7" w:rsidRPr="00FB3EA0" w:rsidRDefault="00510C60">
      <w:pPr>
        <w:pStyle w:val="1bodycopy10pt"/>
        <w:rPr>
          <w:rFonts w:asciiTheme="majorHAnsi" w:hAnsiTheme="majorHAnsi"/>
          <w:lang w:val="en-GB" w:eastAsia="en-GB"/>
        </w:rPr>
      </w:pPr>
      <w:r w:rsidRPr="00FB3EA0">
        <w:rPr>
          <w:rFonts w:asciiTheme="majorHAnsi" w:hAnsiTheme="majorHAnsi"/>
          <w:lang w:val="en-GB" w:eastAsia="en-GB"/>
        </w:rPr>
        <w:t>In the event of serious capability concerns, the headteacher can decide to instigate capability procedures in line with our capability policy. They will inform the appropriate body when these procedures are instigated.</w:t>
      </w:r>
    </w:p>
    <w:p w14:paraId="7F87089F" w14:textId="77777777" w:rsidR="00D30CC7" w:rsidRPr="00FB3EA0" w:rsidRDefault="00510C60">
      <w:pPr>
        <w:pStyle w:val="1bodycopy10pt"/>
        <w:rPr>
          <w:rFonts w:asciiTheme="majorHAnsi" w:hAnsiTheme="majorHAnsi"/>
          <w:lang w:val="en-GB" w:eastAsia="en-GB"/>
        </w:rPr>
      </w:pPr>
      <w:r w:rsidRPr="00FB3EA0">
        <w:rPr>
          <w:rFonts w:asciiTheme="majorHAnsi" w:hAnsiTheme="majorHAnsi"/>
          <w:lang w:val="en-GB" w:eastAsia="en-GB"/>
        </w:rPr>
        <w:t xml:space="preserve">The ECT’s induction process will continue alongside these capability procedures for as long as the ECT remains at the school, or the procedures are concluded. </w:t>
      </w:r>
    </w:p>
    <w:p w14:paraId="7F8708A0" w14:textId="77777777" w:rsidR="00D30CC7" w:rsidRPr="00FB3EA0" w:rsidRDefault="00D30CC7">
      <w:pPr>
        <w:rPr>
          <w:rFonts w:asciiTheme="majorHAnsi" w:hAnsiTheme="majorHAnsi"/>
          <w:lang w:val="en-GB" w:eastAsia="en-GB"/>
        </w:rPr>
      </w:pPr>
    </w:p>
    <w:p w14:paraId="7F8708A1" w14:textId="77777777" w:rsidR="00D30CC7" w:rsidRPr="00FB3EA0" w:rsidRDefault="00510C60">
      <w:pPr>
        <w:pStyle w:val="Heading1"/>
        <w:rPr>
          <w:rFonts w:asciiTheme="majorHAnsi" w:hAnsiTheme="majorHAnsi"/>
        </w:rPr>
      </w:pPr>
      <w:bookmarkStart w:id="29" w:name="_Toc25836419"/>
      <w:bookmarkStart w:id="30" w:name="_Toc71203493"/>
      <w:bookmarkStart w:id="31" w:name="_Toc177995301"/>
      <w:r w:rsidRPr="00FB3EA0">
        <w:rPr>
          <w:rFonts w:asciiTheme="majorHAnsi" w:eastAsia="Arial" w:hAnsiTheme="majorHAnsi"/>
          <w:szCs w:val="28"/>
          <w:lang w:val="en-GB" w:eastAsia="en-GB"/>
        </w:rPr>
        <w:t>5. Roles and responsibilities</w:t>
      </w:r>
      <w:bookmarkEnd w:id="29"/>
      <w:bookmarkEnd w:id="30"/>
      <w:bookmarkEnd w:id="31"/>
    </w:p>
    <w:p w14:paraId="7F8708A2" w14:textId="77777777" w:rsidR="00D30CC7" w:rsidRPr="00FB3EA0" w:rsidRDefault="00510C60">
      <w:pPr>
        <w:spacing w:before="240"/>
        <w:rPr>
          <w:rFonts w:asciiTheme="majorHAnsi" w:hAnsiTheme="majorHAnsi"/>
        </w:rPr>
      </w:pPr>
      <w:r w:rsidRPr="00FB3EA0">
        <w:rPr>
          <w:rFonts w:asciiTheme="majorHAnsi" w:hAnsiTheme="majorHAnsi"/>
          <w:b/>
          <w:bCs/>
          <w:color w:val="12263F"/>
          <w:sz w:val="24"/>
          <w:lang w:val="en-GB" w:eastAsia="en-GB"/>
        </w:rPr>
        <w:t>5.1 Role of the ECT</w:t>
      </w:r>
    </w:p>
    <w:p w14:paraId="7F8708A3"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The ECT will:</w:t>
      </w:r>
    </w:p>
    <w:p w14:paraId="7F8708A4" w14:textId="77777777" w:rsidR="00D30CC7" w:rsidRPr="00FB3EA0" w:rsidRDefault="00510C60">
      <w:pPr>
        <w:numPr>
          <w:ilvl w:val="0"/>
          <w:numId w:val="7"/>
        </w:numPr>
        <w:ind w:left="340" w:hanging="261"/>
        <w:rPr>
          <w:rFonts w:asciiTheme="majorHAnsi" w:hAnsiTheme="majorHAnsi"/>
        </w:rPr>
      </w:pPr>
      <w:r w:rsidRPr="00FB3EA0">
        <w:rPr>
          <w:rFonts w:asciiTheme="majorHAnsi" w:hAnsiTheme="majorHAnsi"/>
          <w:lang w:val="en-GB" w:eastAsia="en-GB"/>
        </w:rPr>
        <w:t>Provide evidence that they have QTS and are eligible to start induction</w:t>
      </w:r>
    </w:p>
    <w:p w14:paraId="7F8708A5" w14:textId="77777777" w:rsidR="00D30CC7" w:rsidRPr="00FB3EA0" w:rsidRDefault="00510C60">
      <w:pPr>
        <w:numPr>
          <w:ilvl w:val="0"/>
          <w:numId w:val="7"/>
        </w:numPr>
        <w:ind w:left="340" w:hanging="261"/>
        <w:rPr>
          <w:rFonts w:asciiTheme="majorHAnsi" w:hAnsiTheme="majorHAnsi"/>
        </w:rPr>
      </w:pPr>
      <w:r w:rsidRPr="00FB3EA0">
        <w:rPr>
          <w:rFonts w:asciiTheme="majorHAnsi" w:hAnsiTheme="majorHAnsi"/>
          <w:lang w:val="en-GB" w:eastAsia="en-GB"/>
        </w:rPr>
        <w:t>Meet with their induction tutor at the start of the programme to discuss and agree priorities, and keep these under review</w:t>
      </w:r>
    </w:p>
    <w:p w14:paraId="7F8708A6" w14:textId="77777777" w:rsidR="00D30CC7" w:rsidRPr="00FB3EA0" w:rsidRDefault="00510C60">
      <w:pPr>
        <w:numPr>
          <w:ilvl w:val="0"/>
          <w:numId w:val="7"/>
        </w:numPr>
        <w:ind w:left="340" w:hanging="261"/>
        <w:rPr>
          <w:rFonts w:asciiTheme="majorHAnsi" w:hAnsiTheme="majorHAnsi"/>
        </w:rPr>
      </w:pPr>
      <w:r w:rsidRPr="00FB3EA0">
        <w:rPr>
          <w:rFonts w:asciiTheme="majorHAnsi" w:hAnsiTheme="majorHAnsi"/>
          <w:lang w:val="en-GB" w:eastAsia="en-GB"/>
        </w:rPr>
        <w:t>Agree with their induction tutor how best to use their reduced timetable allowance and guarantee engagement with their ECF-based induction</w:t>
      </w:r>
    </w:p>
    <w:p w14:paraId="7F8708A7" w14:textId="77777777" w:rsidR="00D30CC7" w:rsidRPr="00FB3EA0" w:rsidRDefault="00510C60">
      <w:pPr>
        <w:numPr>
          <w:ilvl w:val="0"/>
          <w:numId w:val="7"/>
        </w:numPr>
        <w:ind w:left="340" w:hanging="261"/>
        <w:rPr>
          <w:rFonts w:asciiTheme="majorHAnsi" w:hAnsiTheme="majorHAnsi"/>
        </w:rPr>
      </w:pPr>
      <w:r w:rsidRPr="00FB3EA0">
        <w:rPr>
          <w:rFonts w:asciiTheme="majorHAnsi" w:hAnsiTheme="majorHAnsi"/>
          <w:lang w:val="en-GB" w:eastAsia="en-GB"/>
        </w:rPr>
        <w:t>Provide evidence of their progress against the relevant standards</w:t>
      </w:r>
    </w:p>
    <w:p w14:paraId="7F8708A8" w14:textId="77777777" w:rsidR="00D30CC7" w:rsidRPr="00FB3EA0" w:rsidRDefault="00510C60">
      <w:pPr>
        <w:numPr>
          <w:ilvl w:val="0"/>
          <w:numId w:val="7"/>
        </w:numPr>
        <w:ind w:left="340" w:hanging="261"/>
        <w:rPr>
          <w:rFonts w:asciiTheme="majorHAnsi" w:hAnsiTheme="majorHAnsi"/>
        </w:rPr>
      </w:pPr>
      <w:r w:rsidRPr="00FB3EA0">
        <w:rPr>
          <w:rFonts w:asciiTheme="majorHAnsi" w:hAnsiTheme="majorHAnsi"/>
          <w:lang w:val="en-GB" w:eastAsia="en-GB"/>
        </w:rPr>
        <w:t>Participate fully in the monitoring and development programme</w:t>
      </w:r>
    </w:p>
    <w:p w14:paraId="7F8708A9" w14:textId="77777777" w:rsidR="00D30CC7" w:rsidRPr="00FB3EA0" w:rsidRDefault="00510C60">
      <w:pPr>
        <w:numPr>
          <w:ilvl w:val="0"/>
          <w:numId w:val="7"/>
        </w:numPr>
        <w:ind w:left="340" w:hanging="261"/>
        <w:rPr>
          <w:rFonts w:asciiTheme="majorHAnsi" w:hAnsiTheme="majorHAnsi"/>
        </w:rPr>
      </w:pPr>
      <w:r w:rsidRPr="00FB3EA0">
        <w:rPr>
          <w:rFonts w:asciiTheme="majorHAnsi" w:hAnsiTheme="majorHAnsi"/>
          <w:lang w:val="en-GB" w:eastAsia="en-GB"/>
        </w:rPr>
        <w:t>Participate in scheduled classroom observations, progress reviews and formal assessment meetings</w:t>
      </w:r>
    </w:p>
    <w:p w14:paraId="7F8708AA" w14:textId="77777777" w:rsidR="00D30CC7" w:rsidRPr="00FB3EA0" w:rsidRDefault="00510C60">
      <w:pPr>
        <w:numPr>
          <w:ilvl w:val="0"/>
          <w:numId w:val="7"/>
        </w:numPr>
        <w:ind w:left="340" w:hanging="261"/>
        <w:rPr>
          <w:rFonts w:asciiTheme="majorHAnsi" w:hAnsiTheme="majorHAnsi"/>
        </w:rPr>
      </w:pPr>
      <w:r w:rsidRPr="00FB3EA0">
        <w:rPr>
          <w:rFonts w:asciiTheme="majorHAnsi" w:hAnsiTheme="majorHAnsi"/>
          <w:lang w:val="en-GB" w:eastAsia="en-GB"/>
        </w:rPr>
        <w:t>Agree with their induction tutor the start and end dates of the induction period, and the dates of any absences from work during the period</w:t>
      </w:r>
    </w:p>
    <w:p w14:paraId="7F8708AB" w14:textId="77777777" w:rsidR="00D30CC7" w:rsidRPr="00FB3EA0" w:rsidRDefault="00510C60">
      <w:pPr>
        <w:numPr>
          <w:ilvl w:val="0"/>
          <w:numId w:val="7"/>
        </w:numPr>
        <w:ind w:left="340" w:hanging="261"/>
        <w:rPr>
          <w:rFonts w:asciiTheme="majorHAnsi" w:hAnsiTheme="majorHAnsi"/>
        </w:rPr>
      </w:pPr>
      <w:r w:rsidRPr="00FB3EA0">
        <w:rPr>
          <w:rFonts w:asciiTheme="majorHAnsi" w:hAnsiTheme="majorHAnsi"/>
          <w:lang w:val="en-GB" w:eastAsia="en-GB"/>
        </w:rPr>
        <w:t>Keep copies of all assessment reports</w:t>
      </w:r>
    </w:p>
    <w:p w14:paraId="7F8708AC" w14:textId="77777777" w:rsidR="00D30CC7" w:rsidRPr="00FB3EA0" w:rsidRDefault="00510C60">
      <w:pPr>
        <w:rPr>
          <w:rFonts w:asciiTheme="majorHAnsi" w:hAnsiTheme="majorHAnsi"/>
        </w:rPr>
      </w:pPr>
      <w:r w:rsidRPr="00FB3EA0">
        <w:rPr>
          <w:rFonts w:asciiTheme="majorHAnsi" w:hAnsiTheme="majorHAnsi"/>
          <w:b/>
          <w:bCs/>
          <w:lang w:val="en-GB" w:eastAsia="en-GB"/>
        </w:rPr>
        <w:t>When the ECT has any</w:t>
      </w:r>
      <w:r w:rsidRPr="00FB3EA0">
        <w:rPr>
          <w:rFonts w:asciiTheme="majorHAnsi" w:hAnsiTheme="majorHAnsi"/>
          <w:lang w:val="en-GB" w:eastAsia="en-GB"/>
        </w:rPr>
        <w:t xml:space="preserve"> </w:t>
      </w:r>
      <w:r w:rsidRPr="00FB3EA0">
        <w:rPr>
          <w:rFonts w:asciiTheme="majorHAnsi" w:hAnsiTheme="majorHAnsi"/>
          <w:b/>
          <w:bCs/>
          <w:lang w:val="en-GB" w:eastAsia="en-GB"/>
        </w:rPr>
        <w:t>concerns</w:t>
      </w:r>
      <w:r w:rsidRPr="00FB3EA0">
        <w:rPr>
          <w:rFonts w:asciiTheme="majorHAnsi" w:hAnsiTheme="majorHAnsi"/>
          <w:lang w:val="en-GB" w:eastAsia="en-GB"/>
        </w:rPr>
        <w:t xml:space="preserve">, they will: </w:t>
      </w:r>
    </w:p>
    <w:p w14:paraId="7F8708AD" w14:textId="77777777" w:rsidR="00D30CC7" w:rsidRPr="00FB3EA0" w:rsidRDefault="00510C60">
      <w:pPr>
        <w:numPr>
          <w:ilvl w:val="0"/>
          <w:numId w:val="8"/>
        </w:numPr>
        <w:ind w:left="340" w:hanging="261"/>
        <w:rPr>
          <w:rFonts w:asciiTheme="majorHAnsi" w:hAnsiTheme="majorHAnsi"/>
        </w:rPr>
      </w:pPr>
      <w:r w:rsidRPr="00FB3EA0">
        <w:rPr>
          <w:rFonts w:asciiTheme="majorHAnsi" w:hAnsiTheme="majorHAnsi"/>
          <w:lang w:val="en-GB" w:eastAsia="en-GB"/>
        </w:rPr>
        <w:t>Raise these with their induction tutor as soon as they can</w:t>
      </w:r>
    </w:p>
    <w:p w14:paraId="7F8708AE" w14:textId="77777777" w:rsidR="00D30CC7" w:rsidRPr="00FB3EA0" w:rsidRDefault="00510C60">
      <w:pPr>
        <w:numPr>
          <w:ilvl w:val="0"/>
          <w:numId w:val="8"/>
        </w:numPr>
        <w:ind w:left="340" w:hanging="261"/>
        <w:rPr>
          <w:rFonts w:asciiTheme="majorHAnsi" w:hAnsiTheme="majorHAnsi"/>
        </w:rPr>
      </w:pPr>
      <w:r w:rsidRPr="00FB3EA0">
        <w:rPr>
          <w:rFonts w:asciiTheme="majorHAnsi" w:hAnsiTheme="majorHAnsi"/>
          <w:lang w:val="en-GB" w:eastAsia="en-GB"/>
        </w:rPr>
        <w:t>Consult with their contact at the appropriate body at an early stage if there are difficulties in resolving issues with their induction tutor or within the school</w:t>
      </w:r>
    </w:p>
    <w:p w14:paraId="7F8708AF" w14:textId="77777777" w:rsidR="00D30CC7" w:rsidRPr="00FB3EA0" w:rsidRDefault="00510C60">
      <w:pPr>
        <w:spacing w:before="240"/>
        <w:rPr>
          <w:rFonts w:asciiTheme="majorHAnsi" w:hAnsiTheme="majorHAnsi"/>
        </w:rPr>
      </w:pPr>
      <w:r w:rsidRPr="00FB3EA0">
        <w:rPr>
          <w:rFonts w:asciiTheme="majorHAnsi" w:hAnsiTheme="majorHAnsi"/>
          <w:b/>
          <w:bCs/>
          <w:color w:val="12263F"/>
          <w:sz w:val="24"/>
          <w:lang w:val="en-GB" w:eastAsia="en-GB"/>
        </w:rPr>
        <w:t>5.2 Role of the headteacher</w:t>
      </w:r>
    </w:p>
    <w:p w14:paraId="7F8708B0"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The headteacher will:</w:t>
      </w:r>
    </w:p>
    <w:p w14:paraId="7F8708B1"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lastRenderedPageBreak/>
        <w:t>Check that the ECT has been awarded QTS and whether they need to serve an induction period</w:t>
      </w:r>
    </w:p>
    <w:p w14:paraId="7F8708B2"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Agree, in advance of the ECT starting, who will act as the appropriate body</w:t>
      </w:r>
    </w:p>
    <w:p w14:paraId="7F8708B3"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Notify the appropriate body when an ECT is taking up a post and undertaking induction</w:t>
      </w:r>
    </w:p>
    <w:p w14:paraId="7F8708B4"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Make sure the ECT’s post is suitable according to statutory guidance (see section 4.1 above)</w:t>
      </w:r>
    </w:p>
    <w:p w14:paraId="7F8708B5"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Make sure the induction tutor is appropriately trained and has sufficient time to carry out their role effectively</w:t>
      </w:r>
    </w:p>
    <w:p w14:paraId="7F8708B6"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Make sure the induction mentor is appropriately trained and has sufficient time to carry out their role effectively</w:t>
      </w:r>
    </w:p>
    <w:p w14:paraId="7F8708B7"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Make sure an appropriate ECF-based induction programme is in place</w:t>
      </w:r>
    </w:p>
    <w:p w14:paraId="7F8708B8"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Make sure the ECT’s progress is reviewed regularly, including through observations and feedback of their teaching</w:t>
      </w:r>
    </w:p>
    <w:p w14:paraId="7F8708B9"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Make sure that formal assessments are carried out and reports completed and sent to the appropriate body</w:t>
      </w:r>
    </w:p>
    <w:p w14:paraId="7F8708BA" w14:textId="77777777" w:rsidR="00D30CC7" w:rsidRPr="00FB3EA0" w:rsidRDefault="00510C60">
      <w:pPr>
        <w:pStyle w:val="4Bulletedcopyblue"/>
        <w:rPr>
          <w:rFonts w:asciiTheme="majorHAnsi" w:hAnsiTheme="majorHAnsi"/>
        </w:rPr>
      </w:pPr>
      <w:r w:rsidRPr="00FB3EA0">
        <w:rPr>
          <w:rFonts w:asciiTheme="majorHAnsi" w:hAnsiTheme="majorHAnsi"/>
          <w:lang w:val="en-GB" w:eastAsia="en-GB"/>
        </w:rPr>
        <w:t>Maintain and keep accurate records of employment that will count towards the induction period</w:t>
      </w:r>
    </w:p>
    <w:p w14:paraId="7F8708BB"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Make sure that all monitoring and record keeping is done in the least burdensome and most streamlined way</w:t>
      </w:r>
    </w:p>
    <w:p w14:paraId="7F8708BC"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Make the governing board aware of the support arrangements in place for the ECT</w:t>
      </w:r>
    </w:p>
    <w:p w14:paraId="7F8708BD"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Make a recommendation to the appropriate body on whether the ECT’s performance against the relevant standards is satisfactory</w:t>
      </w:r>
    </w:p>
    <w:p w14:paraId="7F8708BE"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Participate in the appropriate body’s quality assurance procedures of the induction programmes</w:t>
      </w:r>
    </w:p>
    <w:p w14:paraId="7F8708BF" w14:textId="77777777" w:rsidR="00D30CC7" w:rsidRPr="00FB3EA0" w:rsidRDefault="00510C60">
      <w:pPr>
        <w:numPr>
          <w:ilvl w:val="0"/>
          <w:numId w:val="9"/>
        </w:numPr>
        <w:ind w:left="340" w:hanging="261"/>
        <w:rPr>
          <w:rFonts w:asciiTheme="majorHAnsi" w:hAnsiTheme="majorHAnsi"/>
        </w:rPr>
      </w:pPr>
      <w:r w:rsidRPr="00FB3EA0">
        <w:rPr>
          <w:rFonts w:asciiTheme="majorHAnsi" w:hAnsiTheme="majorHAnsi"/>
          <w:lang w:val="en-GB" w:eastAsia="en-GB"/>
        </w:rPr>
        <w:t>Keep all relevant documentation, evidence and forms on file for 6 years</w:t>
      </w:r>
    </w:p>
    <w:p w14:paraId="7F8708C0" w14:textId="77777777" w:rsidR="00D30CC7" w:rsidRPr="00FB3EA0" w:rsidRDefault="00510C60">
      <w:pPr>
        <w:spacing w:before="240"/>
        <w:rPr>
          <w:rFonts w:asciiTheme="majorHAnsi" w:hAnsiTheme="majorHAnsi"/>
        </w:rPr>
      </w:pPr>
      <w:r w:rsidRPr="00FB3EA0">
        <w:rPr>
          <w:rFonts w:asciiTheme="majorHAnsi" w:hAnsiTheme="majorHAnsi"/>
          <w:b/>
          <w:bCs/>
          <w:color w:val="12263F"/>
          <w:sz w:val="24"/>
          <w:lang w:val="en-GB" w:eastAsia="en-GB"/>
        </w:rPr>
        <w:t>5.3 Role of the induction tutor</w:t>
      </w:r>
    </w:p>
    <w:p w14:paraId="7F8708C1"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The induction tutor will:</w:t>
      </w:r>
    </w:p>
    <w:p w14:paraId="7F8708C2"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Provide guidance and effective support to the ECT (with the appropriate body where necessary)</w:t>
      </w:r>
    </w:p>
    <w:p w14:paraId="7F8708C3"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Carry out regular progress reviews throughout the induction period</w:t>
      </w:r>
    </w:p>
    <w:p w14:paraId="7F8708C4"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Undertake 2 formal assessment meetings during the induction period, coordinating input from other colleagues as appropriate</w:t>
      </w:r>
    </w:p>
    <w:p w14:paraId="7F8708C5"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Carry out progress reviews in terms where a formal assessment doesn’t occur</w:t>
      </w:r>
    </w:p>
    <w:p w14:paraId="7F8708C6"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Inform the ECT following progress reviews of their progress against the relevant standards, and share records with the ECT, headteacher and appropriate body</w:t>
      </w:r>
    </w:p>
    <w:p w14:paraId="7F8708C7"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Inform the ECT during the formal assessment meeting of the judgements to be recorded on their formal assessment record and invite the ECT to add their own comments</w:t>
      </w:r>
    </w:p>
    <w:p w14:paraId="7F8708C8"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Make sure that the ECT’s teaching is observed and feedback is provided</w:t>
      </w:r>
    </w:p>
    <w:p w14:paraId="7F8708C9"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Make sure the ECT is aware of how they can raise concerns about their induction programme or their personal progress, both within and outside of the school</w:t>
      </w:r>
    </w:p>
    <w:p w14:paraId="7F8708CA"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Take prompt, appropriate action if the ECT appears to be having difficulties</w:t>
      </w:r>
    </w:p>
    <w:p w14:paraId="7F8708CB"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Make sure that all monitoring and record keeping is done in the least burdensome way, and that ECTs are not asked for any evidence that requires the creation of new work</w:t>
      </w:r>
    </w:p>
    <w:p w14:paraId="7F8708CC"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eastAsia="en-GB"/>
        </w:rPr>
        <w:t>Notify the appropriate body after each progress review as to whether the ECT is making satisfactory progress</w:t>
      </w:r>
    </w:p>
    <w:p w14:paraId="7F8708CD" w14:textId="77777777" w:rsidR="00D30CC7" w:rsidRPr="00FB3EA0" w:rsidRDefault="00510C60">
      <w:pPr>
        <w:numPr>
          <w:ilvl w:val="0"/>
          <w:numId w:val="10"/>
        </w:numPr>
        <w:ind w:left="340" w:hanging="261"/>
        <w:rPr>
          <w:rFonts w:asciiTheme="majorHAnsi" w:hAnsiTheme="majorHAnsi"/>
        </w:rPr>
      </w:pPr>
      <w:r w:rsidRPr="00FB3EA0">
        <w:rPr>
          <w:rFonts w:asciiTheme="majorHAnsi" w:hAnsiTheme="majorHAnsi"/>
          <w:lang w:val="en-GB" w:eastAsia="en-GB"/>
        </w:rPr>
        <w:t>Regularly meet with the ECT for structured mentor sessions to provide targeted feedback</w:t>
      </w:r>
    </w:p>
    <w:p w14:paraId="7F8708CE" w14:textId="77777777" w:rsidR="00D30CC7" w:rsidRPr="00FB3EA0" w:rsidRDefault="00510C60">
      <w:pPr>
        <w:numPr>
          <w:ilvl w:val="0"/>
          <w:numId w:val="11"/>
        </w:numPr>
        <w:ind w:left="340" w:hanging="261"/>
        <w:rPr>
          <w:rFonts w:asciiTheme="majorHAnsi" w:hAnsiTheme="majorHAnsi"/>
        </w:rPr>
      </w:pPr>
      <w:r w:rsidRPr="00FB3EA0">
        <w:rPr>
          <w:rFonts w:asciiTheme="majorHAnsi" w:hAnsiTheme="majorHAnsi"/>
          <w:lang w:val="en-GB" w:eastAsia="en-GB"/>
        </w:rPr>
        <w:t>Work with the ECT, and colleagues within the school who are involved in the ECT’s induction, to help make sure the ECT receives a high-quality ECF-based programme</w:t>
      </w:r>
    </w:p>
    <w:p w14:paraId="7F8708CF" w14:textId="77777777" w:rsidR="00D30CC7" w:rsidRPr="00FB3EA0" w:rsidRDefault="00510C60">
      <w:pPr>
        <w:numPr>
          <w:ilvl w:val="0"/>
          <w:numId w:val="11"/>
        </w:numPr>
        <w:ind w:left="340" w:hanging="261"/>
        <w:rPr>
          <w:rFonts w:asciiTheme="majorHAnsi" w:hAnsiTheme="majorHAnsi"/>
        </w:rPr>
      </w:pPr>
      <w:r w:rsidRPr="00FB3EA0">
        <w:rPr>
          <w:rFonts w:asciiTheme="majorHAnsi" w:hAnsiTheme="majorHAnsi"/>
          <w:lang w:val="en-GB" w:eastAsia="en-GB"/>
        </w:rPr>
        <w:t>Provide, or arrange, effective support – including subject-specific, phase-specific, coaching and/or mentoring</w:t>
      </w:r>
    </w:p>
    <w:p w14:paraId="7F8708D0" w14:textId="77777777" w:rsidR="00D30CC7" w:rsidRPr="00FB3EA0" w:rsidRDefault="00510C60">
      <w:pPr>
        <w:numPr>
          <w:ilvl w:val="0"/>
          <w:numId w:val="11"/>
        </w:numPr>
        <w:ind w:left="340" w:hanging="261"/>
        <w:rPr>
          <w:rFonts w:asciiTheme="majorHAnsi" w:hAnsiTheme="majorHAnsi"/>
        </w:rPr>
      </w:pPr>
      <w:r w:rsidRPr="00FB3EA0">
        <w:rPr>
          <w:rFonts w:asciiTheme="majorHAnsi" w:hAnsiTheme="majorHAnsi"/>
          <w:lang w:val="en-GB" w:eastAsia="en-GB"/>
        </w:rPr>
        <w:lastRenderedPageBreak/>
        <w:t xml:space="preserve">Act promptly and appropriately if the ECT appears to be having difficulties </w:t>
      </w:r>
    </w:p>
    <w:p w14:paraId="7F8708D1" w14:textId="77777777" w:rsidR="00D30CC7" w:rsidRPr="00FB3EA0" w:rsidRDefault="00510C60">
      <w:pPr>
        <w:spacing w:before="240"/>
        <w:rPr>
          <w:rFonts w:asciiTheme="majorHAnsi" w:hAnsiTheme="majorHAnsi"/>
        </w:rPr>
      </w:pPr>
      <w:r w:rsidRPr="00FB3EA0">
        <w:rPr>
          <w:rFonts w:asciiTheme="majorHAnsi" w:hAnsiTheme="majorHAnsi"/>
          <w:b/>
          <w:bCs/>
          <w:color w:val="12263F"/>
          <w:sz w:val="24"/>
          <w:lang w:val="en-GB" w:eastAsia="en-GB"/>
        </w:rPr>
        <w:t>5.5 Role of the governing board</w:t>
      </w:r>
    </w:p>
    <w:p w14:paraId="7F8708D2"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The governing board will:</w:t>
      </w:r>
    </w:p>
    <w:p w14:paraId="7F8708D3" w14:textId="77777777" w:rsidR="00D30CC7" w:rsidRPr="00FB3EA0" w:rsidRDefault="00510C60">
      <w:pPr>
        <w:numPr>
          <w:ilvl w:val="0"/>
          <w:numId w:val="12"/>
        </w:numPr>
        <w:ind w:left="340" w:hanging="261"/>
        <w:rPr>
          <w:rFonts w:asciiTheme="majorHAnsi" w:hAnsiTheme="majorHAnsi"/>
        </w:rPr>
      </w:pPr>
      <w:r w:rsidRPr="00FB3EA0">
        <w:rPr>
          <w:rFonts w:asciiTheme="majorHAnsi" w:hAnsiTheme="majorHAnsi"/>
          <w:lang w:val="en-GB" w:eastAsia="en-GB"/>
        </w:rPr>
        <w:t>Make sure the school complies with statutory guidance on ECT induction</w:t>
      </w:r>
    </w:p>
    <w:p w14:paraId="7F8708D4" w14:textId="77777777" w:rsidR="00D30CC7" w:rsidRPr="00FB3EA0" w:rsidRDefault="00510C60">
      <w:pPr>
        <w:numPr>
          <w:ilvl w:val="0"/>
          <w:numId w:val="12"/>
        </w:numPr>
        <w:ind w:left="340" w:hanging="261"/>
        <w:rPr>
          <w:rFonts w:asciiTheme="majorHAnsi" w:hAnsiTheme="majorHAnsi"/>
        </w:rPr>
      </w:pPr>
      <w:r w:rsidRPr="00FB3EA0">
        <w:rPr>
          <w:rFonts w:asciiTheme="majorHAnsi" w:hAnsiTheme="majorHAnsi"/>
          <w:lang w:val="en-GB" w:eastAsia="en-GB"/>
        </w:rPr>
        <w:t>Be satisfied that the school has the capacity to support the ECT</w:t>
      </w:r>
    </w:p>
    <w:p w14:paraId="7F8708D5" w14:textId="77777777" w:rsidR="00D30CC7" w:rsidRPr="00FB3EA0" w:rsidRDefault="00510C60">
      <w:pPr>
        <w:numPr>
          <w:ilvl w:val="0"/>
          <w:numId w:val="12"/>
        </w:numPr>
        <w:ind w:left="340" w:hanging="261"/>
        <w:rPr>
          <w:rFonts w:asciiTheme="majorHAnsi" w:hAnsiTheme="majorHAnsi"/>
        </w:rPr>
      </w:pPr>
      <w:r w:rsidRPr="00FB3EA0">
        <w:rPr>
          <w:rFonts w:asciiTheme="majorHAnsi" w:hAnsiTheme="majorHAnsi"/>
          <w:lang w:val="en-GB" w:eastAsia="en-GB"/>
        </w:rPr>
        <w:t>Make sure the headteacher is fulfilling their responsibility to meet the requirements of a suitable induction post</w:t>
      </w:r>
    </w:p>
    <w:p w14:paraId="7F8708D6" w14:textId="77777777" w:rsidR="00D30CC7" w:rsidRPr="00FB3EA0" w:rsidRDefault="00510C60">
      <w:pPr>
        <w:numPr>
          <w:ilvl w:val="0"/>
          <w:numId w:val="12"/>
        </w:numPr>
        <w:ind w:left="340" w:hanging="261"/>
        <w:rPr>
          <w:rFonts w:asciiTheme="majorHAnsi" w:hAnsiTheme="majorHAnsi"/>
        </w:rPr>
      </w:pPr>
      <w:r w:rsidRPr="00FB3EA0">
        <w:rPr>
          <w:rFonts w:asciiTheme="majorHAnsi" w:hAnsiTheme="majorHAnsi"/>
          <w:lang w:val="en-GB" w:eastAsia="en-GB"/>
        </w:rPr>
        <w:t>Investigate concerns raised by the ECT as part of the school’s grievance procedures</w:t>
      </w:r>
    </w:p>
    <w:p w14:paraId="7F8708D7" w14:textId="77777777" w:rsidR="00D30CC7" w:rsidRPr="00FB3EA0" w:rsidRDefault="00510C60">
      <w:pPr>
        <w:numPr>
          <w:ilvl w:val="0"/>
          <w:numId w:val="12"/>
        </w:numPr>
        <w:ind w:left="340" w:hanging="261"/>
        <w:rPr>
          <w:rFonts w:asciiTheme="majorHAnsi" w:hAnsiTheme="majorHAnsi"/>
        </w:rPr>
      </w:pPr>
      <w:r w:rsidRPr="00FB3EA0">
        <w:rPr>
          <w:rFonts w:asciiTheme="majorHAnsi" w:hAnsiTheme="majorHAnsi"/>
          <w:lang w:val="en-GB" w:eastAsia="en-GB"/>
        </w:rPr>
        <w:t xml:space="preserve">If it </w:t>
      </w:r>
      <w:r w:rsidRPr="00FB3EA0">
        <w:rPr>
          <w:rFonts w:asciiTheme="majorHAnsi" w:hAnsiTheme="majorHAnsi"/>
          <w:lang w:eastAsia="en-GB"/>
        </w:rPr>
        <w:t xml:space="preserve">has any concerns or questions, </w:t>
      </w:r>
      <w:r w:rsidRPr="00FB3EA0">
        <w:rPr>
          <w:rFonts w:asciiTheme="majorHAnsi" w:hAnsiTheme="majorHAnsi"/>
          <w:lang w:val="en-GB" w:eastAsia="en-GB"/>
        </w:rPr>
        <w:t>seek guidance from the appropriate body on the quality of the induction arrangements and the roles and responsibilities of staff involved in the process</w:t>
      </w:r>
    </w:p>
    <w:p w14:paraId="7F8708D8" w14:textId="77777777" w:rsidR="00D30CC7" w:rsidRPr="00FB3EA0" w:rsidRDefault="00510C60">
      <w:pPr>
        <w:numPr>
          <w:ilvl w:val="0"/>
          <w:numId w:val="12"/>
        </w:numPr>
        <w:ind w:left="340" w:hanging="261"/>
        <w:rPr>
          <w:rFonts w:asciiTheme="majorHAnsi" w:hAnsiTheme="majorHAnsi"/>
        </w:rPr>
      </w:pPr>
      <w:r w:rsidRPr="00FB3EA0">
        <w:rPr>
          <w:rFonts w:asciiTheme="majorHAnsi" w:hAnsiTheme="majorHAnsi"/>
          <w:lang w:val="en-GB" w:eastAsia="en-GB"/>
        </w:rPr>
        <w:t>If it wishes, request general reports on the progress of the ECT</w:t>
      </w:r>
      <w:r w:rsidRPr="00FB3EA0">
        <w:rPr>
          <w:rFonts w:asciiTheme="majorHAnsi" w:hAnsiTheme="majorHAnsi"/>
          <w:lang w:eastAsia="en-GB"/>
        </w:rPr>
        <w:t xml:space="preserve"> on a termly basis</w:t>
      </w:r>
    </w:p>
    <w:p w14:paraId="7F8708D9" w14:textId="77777777" w:rsidR="00D30CC7" w:rsidRPr="00FB3EA0" w:rsidRDefault="00D30CC7">
      <w:pPr>
        <w:rPr>
          <w:rFonts w:asciiTheme="majorHAnsi" w:eastAsia="Times New Roman" w:hAnsiTheme="majorHAnsi"/>
          <w:lang w:val="en-GB" w:eastAsia="en-GB"/>
        </w:rPr>
      </w:pPr>
    </w:p>
    <w:p w14:paraId="7F8708DA" w14:textId="77777777" w:rsidR="00D30CC7" w:rsidRPr="00FB3EA0" w:rsidRDefault="00510C60">
      <w:pPr>
        <w:pStyle w:val="Heading1"/>
        <w:rPr>
          <w:rFonts w:asciiTheme="majorHAnsi" w:hAnsiTheme="majorHAnsi"/>
        </w:rPr>
      </w:pPr>
      <w:bookmarkStart w:id="32" w:name="_Toc25836420"/>
      <w:bookmarkStart w:id="33" w:name="_Toc71203494"/>
      <w:bookmarkStart w:id="34" w:name="_Toc177995302"/>
      <w:r w:rsidRPr="00FB3EA0">
        <w:rPr>
          <w:rFonts w:asciiTheme="majorHAnsi" w:eastAsia="Arial" w:hAnsiTheme="majorHAnsi"/>
          <w:szCs w:val="28"/>
          <w:lang w:val="en-GB" w:eastAsia="en-GB"/>
        </w:rPr>
        <w:t>6. Monitoring arrangements</w:t>
      </w:r>
      <w:bookmarkEnd w:id="32"/>
      <w:bookmarkEnd w:id="33"/>
      <w:bookmarkEnd w:id="34"/>
    </w:p>
    <w:p w14:paraId="7F8708DB" w14:textId="77777777" w:rsidR="00D30CC7" w:rsidRPr="00FB3EA0" w:rsidRDefault="00510C60">
      <w:pPr>
        <w:rPr>
          <w:rFonts w:asciiTheme="majorHAnsi" w:hAnsiTheme="majorHAnsi"/>
        </w:rPr>
      </w:pPr>
      <w:r w:rsidRPr="00FB3EA0">
        <w:rPr>
          <w:rFonts w:asciiTheme="majorHAnsi" w:hAnsiTheme="majorHAnsi"/>
          <w:lang w:val="en-GB" w:eastAsia="en-GB"/>
        </w:rPr>
        <w:t xml:space="preserve">This policy will be reviewed </w:t>
      </w:r>
      <w:r w:rsidRPr="00FB3EA0">
        <w:rPr>
          <w:rFonts w:asciiTheme="majorHAnsi" w:hAnsiTheme="majorHAnsi"/>
          <w:bCs/>
          <w:lang w:val="en-GB" w:eastAsia="en-GB"/>
        </w:rPr>
        <w:t>annually</w:t>
      </w:r>
      <w:r w:rsidRPr="00FB3EA0">
        <w:rPr>
          <w:rFonts w:asciiTheme="majorHAnsi" w:hAnsiTheme="majorHAnsi"/>
          <w:lang w:val="en-GB" w:eastAsia="en-GB"/>
        </w:rPr>
        <w:t xml:space="preserve"> by Sophie Chidwick. At every review, it will be approved by the full governing board.</w:t>
      </w:r>
    </w:p>
    <w:p w14:paraId="7F8708DC" w14:textId="77777777" w:rsidR="00D30CC7" w:rsidRPr="00FB3EA0" w:rsidRDefault="00D30CC7">
      <w:pPr>
        <w:rPr>
          <w:rFonts w:asciiTheme="majorHAnsi" w:hAnsiTheme="majorHAnsi"/>
          <w:lang w:val="en-GB" w:eastAsia="en-GB"/>
        </w:rPr>
      </w:pPr>
    </w:p>
    <w:p w14:paraId="7F8708DD" w14:textId="77777777" w:rsidR="00D30CC7" w:rsidRPr="00FB3EA0" w:rsidRDefault="00510C60">
      <w:pPr>
        <w:pStyle w:val="Heading1"/>
        <w:rPr>
          <w:rFonts w:asciiTheme="majorHAnsi" w:hAnsiTheme="majorHAnsi"/>
        </w:rPr>
      </w:pPr>
      <w:bookmarkStart w:id="35" w:name="_Toc25836421"/>
      <w:bookmarkStart w:id="36" w:name="_Toc71203495"/>
      <w:bookmarkStart w:id="37" w:name="_Toc177995303"/>
      <w:r w:rsidRPr="00FB3EA0">
        <w:rPr>
          <w:rFonts w:asciiTheme="majorHAnsi" w:eastAsia="Arial" w:hAnsiTheme="majorHAnsi"/>
          <w:szCs w:val="28"/>
          <w:lang w:val="en-GB" w:eastAsia="en-GB"/>
        </w:rPr>
        <w:t>7. Links with other policies</w:t>
      </w:r>
      <w:bookmarkEnd w:id="35"/>
      <w:bookmarkEnd w:id="36"/>
      <w:bookmarkEnd w:id="37"/>
    </w:p>
    <w:p w14:paraId="7F8708DE" w14:textId="77777777" w:rsidR="00D30CC7" w:rsidRPr="00FB3EA0" w:rsidRDefault="00510C60">
      <w:pPr>
        <w:rPr>
          <w:rFonts w:asciiTheme="majorHAnsi" w:hAnsiTheme="majorHAnsi"/>
          <w:lang w:val="en-GB" w:eastAsia="en-GB"/>
        </w:rPr>
      </w:pPr>
      <w:r w:rsidRPr="00FB3EA0">
        <w:rPr>
          <w:rFonts w:asciiTheme="majorHAnsi" w:hAnsiTheme="majorHAnsi"/>
          <w:lang w:val="en-GB" w:eastAsia="en-GB"/>
        </w:rPr>
        <w:t>This policy links to the following policies and procedures:</w:t>
      </w:r>
    </w:p>
    <w:p w14:paraId="7F8708DF" w14:textId="77777777" w:rsidR="00D30CC7" w:rsidRPr="00FB3EA0" w:rsidRDefault="00510C60">
      <w:pPr>
        <w:numPr>
          <w:ilvl w:val="0"/>
          <w:numId w:val="13"/>
        </w:numPr>
        <w:ind w:left="340" w:hanging="261"/>
        <w:rPr>
          <w:rFonts w:asciiTheme="majorHAnsi" w:hAnsiTheme="majorHAnsi"/>
        </w:rPr>
      </w:pPr>
      <w:r w:rsidRPr="00FB3EA0">
        <w:rPr>
          <w:rFonts w:asciiTheme="majorHAnsi" w:hAnsiTheme="majorHAnsi"/>
          <w:lang w:val="en-GB" w:eastAsia="en-GB"/>
        </w:rPr>
        <w:t>Appraisal</w:t>
      </w:r>
    </w:p>
    <w:p w14:paraId="7F8708E0" w14:textId="77777777" w:rsidR="00D30CC7" w:rsidRPr="00FB3EA0" w:rsidRDefault="00510C60">
      <w:pPr>
        <w:numPr>
          <w:ilvl w:val="0"/>
          <w:numId w:val="13"/>
        </w:numPr>
        <w:ind w:left="340" w:hanging="261"/>
        <w:rPr>
          <w:rFonts w:asciiTheme="majorHAnsi" w:hAnsiTheme="majorHAnsi"/>
        </w:rPr>
      </w:pPr>
      <w:r w:rsidRPr="00FB3EA0">
        <w:rPr>
          <w:rFonts w:asciiTheme="majorHAnsi" w:hAnsiTheme="majorHAnsi"/>
          <w:lang w:val="en-GB" w:eastAsia="en-GB"/>
        </w:rPr>
        <w:t>Teaching and Learning</w:t>
      </w:r>
    </w:p>
    <w:p w14:paraId="7F8708E1" w14:textId="77777777" w:rsidR="00D30CC7" w:rsidRPr="00FB3EA0" w:rsidRDefault="00510C60">
      <w:pPr>
        <w:numPr>
          <w:ilvl w:val="0"/>
          <w:numId w:val="13"/>
        </w:numPr>
        <w:ind w:left="340" w:hanging="261"/>
        <w:rPr>
          <w:rFonts w:asciiTheme="majorHAnsi" w:hAnsiTheme="majorHAnsi"/>
        </w:rPr>
      </w:pPr>
      <w:r w:rsidRPr="00FB3EA0">
        <w:rPr>
          <w:rFonts w:asciiTheme="majorHAnsi" w:hAnsiTheme="majorHAnsi"/>
          <w:lang w:val="en-GB" w:eastAsia="en-GB"/>
        </w:rPr>
        <w:t xml:space="preserve">Curriculum </w:t>
      </w:r>
    </w:p>
    <w:p w14:paraId="7F8708E2" w14:textId="77777777" w:rsidR="00D30CC7" w:rsidRPr="00FB3EA0" w:rsidRDefault="00510C60">
      <w:pPr>
        <w:numPr>
          <w:ilvl w:val="0"/>
          <w:numId w:val="13"/>
        </w:numPr>
        <w:ind w:left="340" w:hanging="261"/>
        <w:rPr>
          <w:rFonts w:asciiTheme="majorHAnsi" w:hAnsiTheme="majorHAnsi"/>
        </w:rPr>
      </w:pPr>
      <w:r w:rsidRPr="00FB3EA0">
        <w:rPr>
          <w:rFonts w:asciiTheme="majorHAnsi" w:hAnsiTheme="majorHAnsi"/>
          <w:lang w:val="en-GB" w:eastAsia="en-GB"/>
        </w:rPr>
        <w:t xml:space="preserve">Feedback </w:t>
      </w:r>
    </w:p>
    <w:p w14:paraId="7F8708E3" w14:textId="77777777" w:rsidR="00D30CC7" w:rsidRDefault="00D30CC7">
      <w:pPr>
        <w:rPr>
          <w:rFonts w:asciiTheme="majorHAnsi" w:hAnsiTheme="majorHAnsi"/>
          <w:lang w:val="en-GB" w:eastAsia="en-GB"/>
        </w:rPr>
      </w:pPr>
    </w:p>
    <w:p w14:paraId="179BA28B" w14:textId="77777777" w:rsidR="0078503F" w:rsidRDefault="0078503F">
      <w:pPr>
        <w:rPr>
          <w:rFonts w:asciiTheme="majorHAnsi" w:hAnsiTheme="majorHAnsi"/>
          <w:lang w:val="en-GB" w:eastAsia="en-GB"/>
        </w:rPr>
      </w:pPr>
    </w:p>
    <w:p w14:paraId="42554FAB" w14:textId="77777777" w:rsidR="0078503F" w:rsidRDefault="0078503F">
      <w:pPr>
        <w:rPr>
          <w:rFonts w:asciiTheme="majorHAnsi" w:hAnsiTheme="majorHAnsi"/>
          <w:lang w:val="en-GB" w:eastAsia="en-GB"/>
        </w:rPr>
      </w:pPr>
    </w:p>
    <w:p w14:paraId="2CEEA7E1" w14:textId="77777777" w:rsidR="0078503F" w:rsidRDefault="0078503F">
      <w:pPr>
        <w:rPr>
          <w:rFonts w:asciiTheme="majorHAnsi" w:hAnsiTheme="majorHAnsi"/>
          <w:lang w:val="en-GB" w:eastAsia="en-GB"/>
        </w:rPr>
      </w:pPr>
    </w:p>
    <w:p w14:paraId="75EC6F2F" w14:textId="77777777" w:rsidR="0078503F" w:rsidRDefault="0078503F">
      <w:pPr>
        <w:rPr>
          <w:rFonts w:asciiTheme="majorHAnsi" w:hAnsiTheme="majorHAnsi"/>
          <w:lang w:val="en-GB" w:eastAsia="en-GB"/>
        </w:rPr>
      </w:pPr>
    </w:p>
    <w:p w14:paraId="612FF49C" w14:textId="77777777" w:rsidR="0078503F" w:rsidRPr="00FB3EA0" w:rsidRDefault="0078503F">
      <w:pPr>
        <w:rPr>
          <w:rFonts w:asciiTheme="majorHAnsi" w:hAnsiTheme="majorHAnsi"/>
          <w:lang w:val="en-GB" w:eastAsia="en-GB"/>
        </w:rPr>
      </w:pPr>
    </w:p>
    <w:tbl>
      <w:tblPr>
        <w:tblpPr w:leftFromText="180" w:rightFromText="180" w:vertAnchor="text" w:horzAnchor="margin" w:tblpY="-62"/>
        <w:tblW w:w="9317" w:type="dxa"/>
        <w:tblCellMar>
          <w:left w:w="10" w:type="dxa"/>
          <w:right w:w="10" w:type="dxa"/>
        </w:tblCellMar>
        <w:tblLook w:val="04A0" w:firstRow="1" w:lastRow="0" w:firstColumn="1" w:lastColumn="0" w:noHBand="0" w:noVBand="1"/>
      </w:tblPr>
      <w:tblGrid>
        <w:gridCol w:w="3647"/>
        <w:gridCol w:w="5670"/>
      </w:tblGrid>
      <w:tr w:rsidR="0078503F" w14:paraId="1AD58109" w14:textId="77777777" w:rsidTr="0078503F">
        <w:trPr>
          <w:trHeight w:val="288"/>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78C2BE12" w14:textId="77777777" w:rsidR="0078503F" w:rsidRDefault="0078503F" w:rsidP="0078503F">
            <w:pPr>
              <w:spacing w:after="0" w:line="256" w:lineRule="auto"/>
            </w:pPr>
            <w:r>
              <w:rPr>
                <w:b/>
                <w:lang w:eastAsia="en-GB"/>
              </w:rPr>
              <w:t xml:space="preserve">Document Title: </w:t>
            </w:r>
            <w:r>
              <w:rPr>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6202A735" w14:textId="1EE73AC7" w:rsidR="0078503F" w:rsidRDefault="0078503F" w:rsidP="0078503F">
            <w:pPr>
              <w:spacing w:after="0" w:line="256" w:lineRule="auto"/>
            </w:pPr>
            <w:r>
              <w:rPr>
                <w:b/>
                <w:lang w:eastAsia="en-GB"/>
              </w:rPr>
              <w:t xml:space="preserve">ECT Policy </w:t>
            </w:r>
            <w:r>
              <w:rPr>
                <w:lang w:eastAsia="en-GB"/>
              </w:rPr>
              <w:t xml:space="preserve"> </w:t>
            </w:r>
          </w:p>
        </w:tc>
      </w:tr>
      <w:tr w:rsidR="0078503F" w14:paraId="77E907AB" w14:textId="77777777" w:rsidTr="0078503F">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0BC3F583" w14:textId="77777777" w:rsidR="0078503F" w:rsidRDefault="0078503F" w:rsidP="0078503F">
            <w:pPr>
              <w:spacing w:after="0" w:line="256" w:lineRule="auto"/>
            </w:pPr>
            <w:r>
              <w:rPr>
                <w:b/>
                <w:lang w:eastAsia="en-GB"/>
              </w:rPr>
              <w:t xml:space="preserve">Version: </w:t>
            </w:r>
            <w:r>
              <w:rPr>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77AE61C0" w14:textId="77777777" w:rsidR="0078503F" w:rsidRDefault="0078503F" w:rsidP="0078503F">
            <w:pPr>
              <w:spacing w:after="0" w:line="256" w:lineRule="auto"/>
              <w:rPr>
                <w:lang w:eastAsia="en-GB"/>
              </w:rPr>
            </w:pPr>
            <w:r>
              <w:rPr>
                <w:lang w:eastAsia="en-GB"/>
              </w:rPr>
              <w:t xml:space="preserve"> 1</w:t>
            </w:r>
          </w:p>
        </w:tc>
      </w:tr>
      <w:tr w:rsidR="0078503F" w14:paraId="437C5ACB" w14:textId="77777777" w:rsidTr="0078503F">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41D83451" w14:textId="77777777" w:rsidR="0078503F" w:rsidRDefault="0078503F" w:rsidP="0078503F">
            <w:pPr>
              <w:spacing w:after="0" w:line="256" w:lineRule="auto"/>
            </w:pPr>
            <w:r>
              <w:rPr>
                <w:b/>
                <w:lang w:eastAsia="en-GB"/>
              </w:rPr>
              <w:t xml:space="preserve">Prepared by: </w:t>
            </w:r>
            <w:r>
              <w:rPr>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1E5BD162" w14:textId="77777777" w:rsidR="0078503F" w:rsidRDefault="0078503F" w:rsidP="0078503F">
            <w:pPr>
              <w:spacing w:after="0" w:line="256" w:lineRule="auto"/>
              <w:rPr>
                <w:lang w:eastAsia="en-GB"/>
              </w:rPr>
            </w:pPr>
            <w:r>
              <w:rPr>
                <w:lang w:eastAsia="en-GB"/>
              </w:rPr>
              <w:t xml:space="preserve"> Sophie Chidwick</w:t>
            </w:r>
          </w:p>
        </w:tc>
      </w:tr>
      <w:tr w:rsidR="0078503F" w14:paraId="0E4738FD" w14:textId="77777777" w:rsidTr="0078503F">
        <w:trPr>
          <w:trHeight w:val="288"/>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14B3EE72" w14:textId="77777777" w:rsidR="0078503F" w:rsidRDefault="0078503F" w:rsidP="0078503F">
            <w:pPr>
              <w:spacing w:after="0" w:line="256" w:lineRule="auto"/>
            </w:pPr>
            <w:r>
              <w:rPr>
                <w:b/>
                <w:lang w:eastAsia="en-GB"/>
              </w:rPr>
              <w:t xml:space="preserve">Governing Body Acceptance Date: </w:t>
            </w:r>
            <w:r>
              <w:rPr>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55CF56F1" w14:textId="77777777" w:rsidR="0078503F" w:rsidRDefault="0078503F" w:rsidP="0078503F">
            <w:pPr>
              <w:spacing w:after="0" w:line="256" w:lineRule="auto"/>
              <w:rPr>
                <w:lang w:eastAsia="en-GB"/>
              </w:rPr>
            </w:pPr>
            <w:r>
              <w:rPr>
                <w:lang w:eastAsia="en-GB"/>
              </w:rPr>
              <w:t xml:space="preserve"> </w:t>
            </w:r>
          </w:p>
        </w:tc>
      </w:tr>
      <w:tr w:rsidR="0078503F" w14:paraId="0F02704A" w14:textId="77777777" w:rsidTr="0078503F">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5D6208CA" w14:textId="77777777" w:rsidR="0078503F" w:rsidRDefault="0078503F" w:rsidP="0078503F">
            <w:pPr>
              <w:spacing w:after="0" w:line="256" w:lineRule="auto"/>
            </w:pPr>
            <w:r>
              <w:rPr>
                <w:b/>
                <w:lang w:eastAsia="en-GB"/>
              </w:rPr>
              <w:t xml:space="preserve">Date for Next Review: </w:t>
            </w:r>
            <w:r>
              <w:rPr>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14F82725" w14:textId="52D415E0" w:rsidR="0078503F" w:rsidRDefault="0078503F" w:rsidP="0078503F">
            <w:pPr>
              <w:spacing w:after="0" w:line="256" w:lineRule="auto"/>
              <w:rPr>
                <w:lang w:eastAsia="en-GB"/>
              </w:rPr>
            </w:pPr>
            <w:r>
              <w:rPr>
                <w:lang w:eastAsia="en-GB"/>
              </w:rPr>
              <w:t xml:space="preserve"> September 202</w:t>
            </w:r>
            <w:r w:rsidR="00A434B8">
              <w:rPr>
                <w:lang w:eastAsia="en-GB"/>
              </w:rPr>
              <w:t>6</w:t>
            </w:r>
          </w:p>
        </w:tc>
      </w:tr>
      <w:tr w:rsidR="0078503F" w14:paraId="6D008693" w14:textId="77777777" w:rsidTr="0078503F">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6B9A830C" w14:textId="77777777" w:rsidR="0078503F" w:rsidRDefault="0078503F" w:rsidP="0078503F">
            <w:pPr>
              <w:spacing w:after="0" w:line="256" w:lineRule="auto"/>
            </w:pPr>
            <w:r>
              <w:rPr>
                <w:b/>
                <w:lang w:eastAsia="en-GB"/>
              </w:rPr>
              <w:t xml:space="preserve">Link on School Website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21A25E18" w14:textId="77777777" w:rsidR="0078503F" w:rsidRDefault="0078503F" w:rsidP="0078503F">
            <w:pPr>
              <w:spacing w:after="0" w:line="256" w:lineRule="auto"/>
              <w:rPr>
                <w:lang w:eastAsia="en-GB"/>
              </w:rPr>
            </w:pPr>
            <w:r>
              <w:rPr>
                <w:lang w:eastAsia="en-GB"/>
              </w:rPr>
              <w:t xml:space="preserve"> </w:t>
            </w:r>
          </w:p>
        </w:tc>
      </w:tr>
    </w:tbl>
    <w:p w14:paraId="7F8708E4" w14:textId="77777777" w:rsidR="00D30CC7" w:rsidRPr="00FB3EA0" w:rsidRDefault="00D30CC7">
      <w:pPr>
        <w:pStyle w:val="Heading1"/>
        <w:rPr>
          <w:rFonts w:asciiTheme="majorHAnsi" w:hAnsiTheme="majorHAnsi"/>
        </w:rPr>
      </w:pPr>
    </w:p>
    <w:p w14:paraId="7F8708E8" w14:textId="77777777" w:rsidR="00D30CC7" w:rsidRPr="00FB3EA0" w:rsidRDefault="00D30CC7">
      <w:pPr>
        <w:rPr>
          <w:rFonts w:asciiTheme="majorHAnsi" w:hAnsiTheme="majorHAnsi"/>
        </w:rPr>
      </w:pPr>
    </w:p>
    <w:sectPr w:rsidR="00D30CC7" w:rsidRPr="00FB3EA0" w:rsidSect="00A72519">
      <w:headerReference w:type="default" r:id="rId12"/>
      <w:footerReference w:type="default" r:id="rId13"/>
      <w:pgSz w:w="11900" w:h="16840"/>
      <w:pgMar w:top="992" w:right="1077" w:bottom="1701" w:left="1077" w:header="567" w:footer="227" w:gutter="0"/>
      <w:pgBorders w:offsetFrom="page">
        <w:top w:val="double" w:sz="18" w:space="24" w:color="0070C0"/>
        <w:left w:val="double" w:sz="18" w:space="24" w:color="0070C0"/>
        <w:bottom w:val="double" w:sz="18" w:space="24" w:color="0070C0"/>
        <w:right w:val="double" w:sz="18" w:space="24" w:color="0070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9553B" w14:textId="77777777" w:rsidR="008017FD" w:rsidRDefault="008017FD">
      <w:pPr>
        <w:spacing w:after="0"/>
      </w:pPr>
      <w:r>
        <w:separator/>
      </w:r>
    </w:p>
  </w:endnote>
  <w:endnote w:type="continuationSeparator" w:id="0">
    <w:p w14:paraId="4BBABFA4" w14:textId="77777777" w:rsidR="008017FD" w:rsidRDefault="008017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CellMar>
        <w:left w:w="10" w:type="dxa"/>
        <w:right w:w="10" w:type="dxa"/>
      </w:tblCellMar>
      <w:tblLook w:val="04A0" w:firstRow="1" w:lastRow="0" w:firstColumn="1" w:lastColumn="0" w:noHBand="0" w:noVBand="1"/>
    </w:tblPr>
    <w:tblGrid>
      <w:gridCol w:w="6379"/>
      <w:gridCol w:w="3402"/>
    </w:tblGrid>
    <w:tr w:rsidR="003C4841" w14:paraId="7F87086A" w14:textId="77777777">
      <w:tc>
        <w:tcPr>
          <w:tcW w:w="6379" w:type="dxa"/>
          <w:tcBorders>
            <w:top w:val="single" w:sz="8" w:space="0" w:color="FF1F64"/>
          </w:tcBorders>
          <w:tcMar>
            <w:top w:w="142" w:type="dxa"/>
            <w:left w:w="0" w:type="dxa"/>
            <w:bottom w:w="0" w:type="dxa"/>
            <w:right w:w="0" w:type="dxa"/>
          </w:tcMar>
        </w:tcPr>
        <w:p w14:paraId="7F870868" w14:textId="77777777" w:rsidR="00510C60" w:rsidRDefault="00510C60">
          <w:pPr>
            <w:shd w:val="clear" w:color="auto" w:fill="FFFFFF"/>
            <w:textAlignment w:val="baseline"/>
          </w:pPr>
          <w:r>
            <w:rPr>
              <w:rFonts w:eastAsia="Times New Roman" w:cs="Arial"/>
              <w:color w:val="7C7C7C"/>
              <w:sz w:val="16"/>
              <w:szCs w:val="16"/>
            </w:rPr>
            <w:t xml:space="preserve">Get the knowledge you need to act at </w:t>
          </w:r>
          <w:hyperlink r:id="rId1" w:history="1">
            <w:r>
              <w:rPr>
                <w:rStyle w:val="Hyperlink"/>
                <w:rFonts w:eastAsia="Times New Roman" w:cs="Arial"/>
                <w:color w:val="7C7C7C"/>
                <w:sz w:val="16"/>
                <w:szCs w:val="16"/>
              </w:rPr>
              <w:t>thekeysupport.com</w:t>
            </w:r>
          </w:hyperlink>
          <w:r>
            <w:rPr>
              <w:rStyle w:val="Hyperlink"/>
              <w:rFonts w:eastAsia="Times New Roman" w:cs="Arial"/>
              <w:color w:val="7C7C7C"/>
              <w:sz w:val="16"/>
              <w:szCs w:val="16"/>
            </w:rPr>
            <w:br/>
          </w:r>
          <w:r>
            <w:rPr>
              <w:rFonts w:eastAsia="Times New Roman" w:cs="Arial"/>
              <w:color w:val="7C7C7C"/>
              <w:sz w:val="16"/>
              <w:szCs w:val="16"/>
            </w:rPr>
            <w:t xml:space="preserve">© The Key </w:t>
          </w:r>
          <w:r>
            <w:rPr>
              <w:rStyle w:val="FooterChar"/>
              <w:rFonts w:eastAsia="MS Mincho"/>
              <w:color w:val="7C7C7C"/>
            </w:rPr>
            <w:t>Support</w:t>
          </w:r>
          <w:r>
            <w:rPr>
              <w:rFonts w:eastAsia="Times New Roman" w:cs="Arial"/>
              <w:color w:val="7C7C7C"/>
              <w:sz w:val="16"/>
              <w:szCs w:val="16"/>
            </w:rPr>
            <w:t xml:space="preserve"> Services Ltd | For terms of use, visit </w:t>
          </w:r>
          <w:hyperlink r:id="rId2" w:history="1">
            <w:r>
              <w:rPr>
                <w:rStyle w:val="Hyperlink"/>
                <w:rFonts w:eastAsia="Times New Roman" w:cs="Arial"/>
                <w:color w:val="7C7C7C"/>
                <w:sz w:val="16"/>
                <w:szCs w:val="16"/>
              </w:rPr>
              <w:t>thekeysupport.com/terms</w:t>
            </w:r>
          </w:hyperlink>
        </w:p>
      </w:tc>
      <w:tc>
        <w:tcPr>
          <w:tcW w:w="3402" w:type="dxa"/>
          <w:tcBorders>
            <w:top w:val="single" w:sz="8" w:space="0" w:color="FF1F64"/>
          </w:tcBorders>
          <w:tcMar>
            <w:top w:w="142" w:type="dxa"/>
            <w:left w:w="0" w:type="dxa"/>
            <w:bottom w:w="0" w:type="dxa"/>
            <w:right w:w="0" w:type="dxa"/>
          </w:tcMar>
        </w:tcPr>
        <w:p w14:paraId="7F870869" w14:textId="77777777" w:rsidR="00510C60" w:rsidRDefault="00510C60">
          <w:pPr>
            <w:shd w:val="clear" w:color="auto" w:fill="FFFFFF"/>
            <w:textAlignment w:val="baseline"/>
            <w:rPr>
              <w:rFonts w:eastAsia="Times New Roman" w:cs="Arial"/>
              <w:color w:val="BFBFBF"/>
              <w:sz w:val="17"/>
              <w:szCs w:val="17"/>
            </w:rPr>
          </w:pPr>
        </w:p>
      </w:tc>
    </w:tr>
  </w:tbl>
  <w:p w14:paraId="7F87086B" w14:textId="77777777" w:rsidR="00510C60" w:rsidRDefault="00510C60">
    <w:pPr>
      <w:pStyle w:val="Footer"/>
    </w:pPr>
    <w:r>
      <w:rPr>
        <w:color w:val="auto"/>
      </w:rPr>
      <w:t>Page</w:t>
    </w:r>
    <w:r>
      <w:rPr>
        <w:b/>
      </w:rPr>
      <w:t xml:space="preserve"> </w:t>
    </w:r>
    <w:r>
      <w:rPr>
        <w:b/>
        <w:color w:val="FF1F64"/>
      </w:rPr>
      <w:t>|</w:t>
    </w:r>
    <w:r>
      <w:t xml:space="preserve"> </w:t>
    </w:r>
    <w:r>
      <w:rPr>
        <w:color w:val="auto"/>
      </w:rPr>
      <w:fldChar w:fldCharType="begin"/>
    </w:r>
    <w:r>
      <w:rPr>
        <w:color w:val="auto"/>
      </w:rPr>
      <w:instrText xml:space="preserve"> PAGE </w:instrText>
    </w:r>
    <w:r>
      <w:rPr>
        <w:color w:val="auto"/>
      </w:rPr>
      <w:fldChar w:fldCharType="separate"/>
    </w:r>
    <w:r>
      <w:rPr>
        <w:color w:val="auto"/>
      </w:rPr>
      <w:t>1</w:t>
    </w:r>
    <w:r>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8AF3" w14:textId="77777777" w:rsidR="008017FD" w:rsidRDefault="008017FD">
      <w:pPr>
        <w:spacing w:after="0"/>
      </w:pPr>
      <w:r>
        <w:rPr>
          <w:color w:val="000000"/>
        </w:rPr>
        <w:separator/>
      </w:r>
    </w:p>
  </w:footnote>
  <w:footnote w:type="continuationSeparator" w:id="0">
    <w:p w14:paraId="4CA50481" w14:textId="77777777" w:rsidR="008017FD" w:rsidRDefault="008017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0864" w14:textId="77777777" w:rsidR="00510C60" w:rsidRDefault="00510C60"/>
  <w:p w14:paraId="7F870865" w14:textId="77777777" w:rsidR="00510C60" w:rsidRDefault="00510C60"/>
  <w:p w14:paraId="7F870866" w14:textId="77777777" w:rsidR="00510C60" w:rsidRDefault="00510C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
      </v:shape>
    </w:pict>
  </w:numPicBullet>
  <w:numPicBullet w:numPicBulletId="1">
    <w:pict>
      <v:shape id="_x0000_i1026" type="#_x0000_t75" style="width:6.75pt;height:10.5pt" o:bullet="t">
        <v:imagedata r:id="rId2" o:title=""/>
      </v:shape>
    </w:pict>
  </w:numPicBullet>
  <w:abstractNum w:abstractNumId="0" w15:restartNumberingAfterBreak="0">
    <w:nsid w:val="02DB28ED"/>
    <w:multiLevelType w:val="multilevel"/>
    <w:tmpl w:val="8C4E284A"/>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B94661D"/>
    <w:multiLevelType w:val="multilevel"/>
    <w:tmpl w:val="561CD0A6"/>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FD47887"/>
    <w:multiLevelType w:val="multilevel"/>
    <w:tmpl w:val="3638753C"/>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1F5226B"/>
    <w:multiLevelType w:val="multilevel"/>
    <w:tmpl w:val="24481F32"/>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48307CB"/>
    <w:multiLevelType w:val="multilevel"/>
    <w:tmpl w:val="31B4191C"/>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8A104B2"/>
    <w:multiLevelType w:val="multilevel"/>
    <w:tmpl w:val="9566FF72"/>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20D40CF1"/>
    <w:multiLevelType w:val="multilevel"/>
    <w:tmpl w:val="321CD7D8"/>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18A53FE"/>
    <w:multiLevelType w:val="multilevel"/>
    <w:tmpl w:val="03BCB918"/>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25F852C8"/>
    <w:multiLevelType w:val="multilevel"/>
    <w:tmpl w:val="1C5EAAE4"/>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62D1EDE"/>
    <w:multiLevelType w:val="multilevel"/>
    <w:tmpl w:val="C570D108"/>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3DC14A23"/>
    <w:multiLevelType w:val="multilevel"/>
    <w:tmpl w:val="E670D796"/>
    <w:lvl w:ilvl="0">
      <w:numFmt w:val="bullet"/>
      <w:lvlText w:val=""/>
      <w:lvlJc w:val="left"/>
      <w:pPr>
        <w:ind w:left="720" w:hanging="360"/>
      </w:pPr>
      <w:rPr>
        <w:rFonts w:ascii="Symbol" w:hAnsi="Symbol"/>
        <w:b w:val="0"/>
        <w:bCs w:val="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3EB97A05"/>
    <w:multiLevelType w:val="multilevel"/>
    <w:tmpl w:val="AEAA334A"/>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A572E76"/>
    <w:multiLevelType w:val="multilevel"/>
    <w:tmpl w:val="30908320"/>
    <w:styleLink w:val="LFO1"/>
    <w:lvl w:ilvl="0">
      <w:numFmt w:val="bullet"/>
      <w:pStyle w:val="4Bulletedcopyblue"/>
      <w:lvlText w:val=""/>
      <w:lvlJc w:val="left"/>
      <w:pPr>
        <w:ind w:left="340" w:hanging="170"/>
      </w:pPr>
      <w:rPr>
        <w:rFonts w:hAnsi="Symbol" w:hint="default"/>
      </w:rPr>
    </w:lvl>
    <w:lvl w:ilvl="1">
      <w:numFmt w:val="bullet"/>
      <w:lvlText w:val="o"/>
      <w:lvlJc w:val="left"/>
      <w:pPr>
        <w:ind w:left="1270" w:hanging="360"/>
      </w:pPr>
      <w:rPr>
        <w:rFonts w:ascii="Courier New" w:hAnsi="Courier New" w:cs="Courier New"/>
      </w:rPr>
    </w:lvl>
    <w:lvl w:ilvl="2">
      <w:numFmt w:val="bullet"/>
      <w:lvlText w:val=""/>
      <w:lvlJc w:val="left"/>
      <w:pPr>
        <w:ind w:left="1990" w:hanging="360"/>
      </w:pPr>
      <w:rPr>
        <w:rFonts w:ascii="Wingdings" w:hAnsi="Wingdings"/>
      </w:rPr>
    </w:lvl>
    <w:lvl w:ilvl="3">
      <w:numFmt w:val="bullet"/>
      <w:lvlText w:val=""/>
      <w:lvlJc w:val="left"/>
      <w:pPr>
        <w:ind w:left="2710" w:hanging="360"/>
      </w:pPr>
      <w:rPr>
        <w:rFonts w:ascii="Symbol" w:hAnsi="Symbol"/>
      </w:rPr>
    </w:lvl>
    <w:lvl w:ilvl="4">
      <w:numFmt w:val="bullet"/>
      <w:lvlText w:val="o"/>
      <w:lvlJc w:val="left"/>
      <w:pPr>
        <w:ind w:left="3430" w:hanging="360"/>
      </w:pPr>
      <w:rPr>
        <w:rFonts w:ascii="Courier New" w:hAnsi="Courier New" w:cs="Courier New"/>
      </w:rPr>
    </w:lvl>
    <w:lvl w:ilvl="5">
      <w:numFmt w:val="bullet"/>
      <w:lvlText w:val=""/>
      <w:lvlJc w:val="left"/>
      <w:pPr>
        <w:ind w:left="4150" w:hanging="360"/>
      </w:pPr>
      <w:rPr>
        <w:rFonts w:ascii="Wingdings" w:hAnsi="Wingdings"/>
      </w:rPr>
    </w:lvl>
    <w:lvl w:ilvl="6">
      <w:numFmt w:val="bullet"/>
      <w:lvlText w:val=""/>
      <w:lvlJc w:val="left"/>
      <w:pPr>
        <w:ind w:left="4870" w:hanging="360"/>
      </w:pPr>
      <w:rPr>
        <w:rFonts w:ascii="Symbol" w:hAnsi="Symbol"/>
      </w:rPr>
    </w:lvl>
    <w:lvl w:ilvl="7">
      <w:numFmt w:val="bullet"/>
      <w:lvlText w:val="o"/>
      <w:lvlJc w:val="left"/>
      <w:pPr>
        <w:ind w:left="5590" w:hanging="360"/>
      </w:pPr>
      <w:rPr>
        <w:rFonts w:ascii="Courier New" w:hAnsi="Courier New" w:cs="Courier New"/>
      </w:rPr>
    </w:lvl>
    <w:lvl w:ilvl="8">
      <w:numFmt w:val="bullet"/>
      <w:lvlText w:val=""/>
      <w:lvlJc w:val="left"/>
      <w:pPr>
        <w:ind w:left="6310" w:hanging="360"/>
      </w:pPr>
      <w:rPr>
        <w:rFonts w:ascii="Wingdings" w:hAnsi="Wingdings"/>
      </w:rPr>
    </w:lvl>
  </w:abstractNum>
  <w:num w:numId="1" w16cid:durableId="1670326027">
    <w:abstractNumId w:val="12"/>
  </w:num>
  <w:num w:numId="2" w16cid:durableId="1580867976">
    <w:abstractNumId w:val="9"/>
  </w:num>
  <w:num w:numId="3" w16cid:durableId="413549196">
    <w:abstractNumId w:val="10"/>
  </w:num>
  <w:num w:numId="4" w16cid:durableId="851603043">
    <w:abstractNumId w:val="5"/>
  </w:num>
  <w:num w:numId="5" w16cid:durableId="2060394310">
    <w:abstractNumId w:val="6"/>
  </w:num>
  <w:num w:numId="6" w16cid:durableId="48572394">
    <w:abstractNumId w:val="1"/>
  </w:num>
  <w:num w:numId="7" w16cid:durableId="322513611">
    <w:abstractNumId w:val="3"/>
  </w:num>
  <w:num w:numId="8" w16cid:durableId="241985479">
    <w:abstractNumId w:val="0"/>
  </w:num>
  <w:num w:numId="9" w16cid:durableId="934441554">
    <w:abstractNumId w:val="8"/>
  </w:num>
  <w:num w:numId="10" w16cid:durableId="975447798">
    <w:abstractNumId w:val="7"/>
  </w:num>
  <w:num w:numId="11" w16cid:durableId="14120522">
    <w:abstractNumId w:val="2"/>
  </w:num>
  <w:num w:numId="12" w16cid:durableId="323358576">
    <w:abstractNumId w:val="11"/>
  </w:num>
  <w:num w:numId="13" w16cid:durableId="1257785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CC7"/>
    <w:rsid w:val="00023F02"/>
    <w:rsid w:val="00030D13"/>
    <w:rsid w:val="00160D61"/>
    <w:rsid w:val="00222B21"/>
    <w:rsid w:val="00510C60"/>
    <w:rsid w:val="0078503F"/>
    <w:rsid w:val="008017FD"/>
    <w:rsid w:val="008862F1"/>
    <w:rsid w:val="00917D60"/>
    <w:rsid w:val="00940110"/>
    <w:rsid w:val="009749D6"/>
    <w:rsid w:val="00A05BAE"/>
    <w:rsid w:val="00A434B8"/>
    <w:rsid w:val="00A72519"/>
    <w:rsid w:val="00B22DC1"/>
    <w:rsid w:val="00B7483F"/>
    <w:rsid w:val="00B839B8"/>
    <w:rsid w:val="00CE6771"/>
    <w:rsid w:val="00D30CC7"/>
    <w:rsid w:val="00DB5886"/>
    <w:rsid w:val="00FB3EA0"/>
    <w:rsid w:val="00FF6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7085A"/>
  <w15:docId w15:val="{DA6ACC12-06A5-49F0-8FEE-E6EF9D92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40" w:lineRule="auto"/>
    </w:pPr>
    <w:rPr>
      <w:rFonts w:ascii="Arial" w:eastAsia="MS Mincho" w:hAnsi="Arial"/>
      <w:kern w:val="0"/>
      <w:sz w:val="20"/>
      <w:lang w:val="en-US"/>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Footer">
    <w:name w:val="footer"/>
    <w:basedOn w:val="Normal"/>
    <w:pPr>
      <w:shd w:val="clear" w:color="auto" w:fill="FFFFFF"/>
      <w:textAlignment w:val="baseline"/>
    </w:pPr>
    <w:rPr>
      <w:rFonts w:eastAsia="Times New Roman" w:cs="Arial"/>
      <w:color w:val="808080"/>
      <w:sz w:val="16"/>
      <w:szCs w:val="16"/>
    </w:rPr>
  </w:style>
  <w:style w:type="character" w:customStyle="1" w:styleId="FooterChar">
    <w:name w:val="Footer Char"/>
    <w:basedOn w:val="DefaultParagraphFont"/>
    <w:rPr>
      <w:rFonts w:ascii="Arial" w:eastAsia="Times New Roman" w:hAnsi="Arial" w:cs="Arial"/>
      <w:color w:val="808080"/>
      <w:kern w:val="0"/>
      <w:sz w:val="16"/>
      <w:szCs w:val="16"/>
      <w:shd w:val="clear" w:color="auto" w:fill="FFFFFF"/>
      <w:lang w:val="en-US"/>
    </w:rPr>
  </w:style>
  <w:style w:type="character" w:styleId="Hyperlink">
    <w:name w:val="Hyperlink"/>
    <w:uiPriority w:val="99"/>
    <w:rPr>
      <w:color w:val="0072CC"/>
      <w:u w:val="single"/>
    </w:rPr>
  </w:style>
  <w:style w:type="paragraph" w:customStyle="1" w:styleId="1bodycopy10pt">
    <w:name w:val="1 body copy 10pt"/>
    <w:basedOn w:val="Normal"/>
  </w:style>
  <w:style w:type="paragraph" w:customStyle="1" w:styleId="4Bulletedcopyblue">
    <w:name w:val="4 Bulleted copy blue"/>
    <w:basedOn w:val="Normal"/>
    <w:pPr>
      <w:numPr>
        <w:numId w:val="1"/>
      </w:numPr>
    </w:pPr>
    <w:rPr>
      <w:rFonts w:cs="Arial"/>
      <w:szCs w:val="20"/>
    </w:rPr>
  </w:style>
  <w:style w:type="character" w:customStyle="1" w:styleId="1bodycopy10ptChar">
    <w:name w:val="1 body copy 10pt Char"/>
    <w:rPr>
      <w:rFonts w:ascii="Arial" w:eastAsia="MS Mincho" w:hAnsi="Arial" w:cs="Times New Roman"/>
      <w:kern w:val="0"/>
      <w:sz w:val="20"/>
      <w:lang w:val="en-US"/>
    </w:rPr>
  </w:style>
  <w:style w:type="paragraph" w:customStyle="1" w:styleId="6Abstract">
    <w:name w:val="6 Abstract"/>
    <w:pPr>
      <w:suppressAutoHyphens/>
      <w:spacing w:after="240" w:line="256" w:lineRule="auto"/>
    </w:pPr>
    <w:rPr>
      <w:rFonts w:ascii="Arial" w:eastAsia="MS Mincho" w:hAnsi="Arial"/>
      <w:kern w:val="0"/>
      <w:sz w:val="28"/>
      <w:szCs w:val="28"/>
      <w:lang w:val="en-US"/>
    </w:rPr>
  </w:style>
  <w:style w:type="paragraph" w:styleId="TOC1">
    <w:name w:val="toc 1"/>
    <w:basedOn w:val="Normal"/>
    <w:next w:val="Normal"/>
    <w:autoRedefine/>
    <w:uiPriority w:val="39"/>
    <w:pPr>
      <w:spacing w:after="100"/>
    </w:pPr>
  </w:style>
  <w:style w:type="paragraph" w:customStyle="1" w:styleId="Subhead2">
    <w:name w:val="Subhead 2"/>
    <w:basedOn w:val="1bodycopy10pt"/>
    <w:next w:val="1bodycopy10pt"/>
    <w:pPr>
      <w:spacing w:before="240"/>
    </w:pPr>
    <w:rPr>
      <w:b/>
      <w:color w:val="12263F"/>
      <w:sz w:val="24"/>
    </w:rPr>
  </w:style>
  <w:style w:type="character" w:customStyle="1" w:styleId="Subhead2Char">
    <w:name w:val="Subhead 2 Char"/>
    <w:rPr>
      <w:rFonts w:ascii="Arial" w:eastAsia="MS Mincho" w:hAnsi="Arial" w:cs="Times New Roman"/>
      <w:b/>
      <w:color w:val="12263F"/>
      <w:kern w:val="0"/>
      <w:lang w:val="en-US"/>
    </w:rPr>
  </w:style>
  <w:style w:type="numbering" w:customStyle="1" w:styleId="LFO1">
    <w:name w:val="LFO1"/>
    <w:basedOn w:val="NoList"/>
    <w:pPr>
      <w:numPr>
        <w:numId w:val="1"/>
      </w:numPr>
    </w:p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MS Mincho" w:hAnsi="Arial"/>
      <w:kern w:val="0"/>
      <w:sz w:val="20"/>
      <w:lang w:val="en-US"/>
    </w:rPr>
  </w:style>
  <w:style w:type="paragraph" w:styleId="TOCHeading">
    <w:name w:val="TOC Heading"/>
    <w:basedOn w:val="Heading1"/>
    <w:next w:val="Normal"/>
    <w:uiPriority w:val="39"/>
    <w:semiHidden/>
    <w:unhideWhenUsed/>
    <w:qFormat/>
    <w:rsid w:val="00A72519"/>
    <w:pPr>
      <w:spacing w:before="240" w:after="0"/>
      <w:outlineLvl w:val="9"/>
    </w:pPr>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induction-for-early-career-teachers-englan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eachers-standard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gislation.gov.uk/uksi/2012/1115/contents" TargetMode="External"/><Relationship Id="rId4" Type="http://schemas.openxmlformats.org/officeDocument/2006/relationships/webSettings" Target="webSettings.xml"/><Relationship Id="rId9" Type="http://schemas.openxmlformats.org/officeDocument/2006/relationships/hyperlink" Target="https://www.gov.uk/government/collections/early-career-framework-reform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1939</Words>
  <Characters>11058</Characters>
  <Application>Microsoft Office Word</Application>
  <DocSecurity>0</DocSecurity>
  <Lines>92</Lines>
  <Paragraphs>25</Paragraphs>
  <ScaleCrop>false</ScaleCrop>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Chidwick</dc:creator>
  <dc:description/>
  <cp:lastModifiedBy>Emily Addington</cp:lastModifiedBy>
  <cp:revision>3</cp:revision>
  <dcterms:created xsi:type="dcterms:W3CDTF">2026-03-16T08:48:00Z</dcterms:created>
  <dcterms:modified xsi:type="dcterms:W3CDTF">2026-03-16T08:48:00Z</dcterms:modified>
</cp:coreProperties>
</file>