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46CA" w14:textId="77777777" w:rsidR="003B5E48" w:rsidRDefault="003B5E48" w:rsidP="003B5E48">
      <w:pPr>
        <w:pStyle w:val="TOCHeading"/>
        <w:spacing w:before="0" w:after="120"/>
        <w:jc w:val="center"/>
        <w:outlineLvl w:val="9"/>
        <w:rPr>
          <w:rFonts w:ascii="Aptos" w:hAnsi="Aptos" w:cs="Arial"/>
          <w:b/>
          <w:sz w:val="28"/>
          <w:szCs w:val="28"/>
        </w:rPr>
      </w:pPr>
    </w:p>
    <w:p w14:paraId="4C1365F6" w14:textId="77777777" w:rsidR="003B5E48" w:rsidRDefault="003B5E48" w:rsidP="003B5E48">
      <w:pPr>
        <w:pStyle w:val="TOCHeading"/>
        <w:spacing w:before="0" w:after="120"/>
        <w:jc w:val="center"/>
        <w:outlineLvl w:val="9"/>
      </w:pPr>
      <w:r>
        <w:rPr>
          <w:rFonts w:ascii="Aptos" w:hAnsi="Aptos"/>
          <w:noProof/>
        </w:rPr>
        <w:drawing>
          <wp:inline distT="0" distB="0" distL="0" distR="0" wp14:anchorId="7EBF7332" wp14:editId="11B34CB6">
            <wp:extent cx="3718563" cy="1859276"/>
            <wp:effectExtent l="0" t="0" r="0" b="7624"/>
            <wp:docPr id="526741395"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718563" cy="1859276"/>
                    </a:xfrm>
                    <a:prstGeom prst="rect">
                      <a:avLst/>
                    </a:prstGeom>
                    <a:noFill/>
                    <a:ln>
                      <a:noFill/>
                      <a:prstDash/>
                    </a:ln>
                  </pic:spPr>
                </pic:pic>
              </a:graphicData>
            </a:graphic>
          </wp:inline>
        </w:drawing>
      </w:r>
    </w:p>
    <w:p w14:paraId="1F3B5926" w14:textId="77777777" w:rsidR="003B5E48" w:rsidRDefault="003B5E48" w:rsidP="003B5E48"/>
    <w:p w14:paraId="42D7C4EC" w14:textId="77777777" w:rsidR="003B5E48" w:rsidRDefault="003B5E48" w:rsidP="003B5E48"/>
    <w:p w14:paraId="6AAA5B76" w14:textId="77777777" w:rsidR="003B5E48" w:rsidRDefault="003B5E48" w:rsidP="003B5E48">
      <w:r>
        <w:rPr>
          <w:noProof/>
        </w:rPr>
        <mc:AlternateContent>
          <mc:Choice Requires="wps">
            <w:drawing>
              <wp:anchor distT="0" distB="0" distL="114300" distR="114300" simplePos="0" relativeHeight="251659264" behindDoc="0" locked="0" layoutInCell="1" allowOverlap="1" wp14:anchorId="2692AC39" wp14:editId="63E5D2D5">
                <wp:simplePos x="0" y="0"/>
                <wp:positionH relativeFrom="column">
                  <wp:posOffset>123828</wp:posOffset>
                </wp:positionH>
                <wp:positionV relativeFrom="paragraph">
                  <wp:posOffset>53336</wp:posOffset>
                </wp:positionV>
                <wp:extent cx="5638793" cy="0"/>
                <wp:effectExtent l="0" t="19050" r="19057" b="19050"/>
                <wp:wrapNone/>
                <wp:docPr id="2146766339"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3939D32D"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2483B3E2" w14:textId="77777777" w:rsidR="003B5E48" w:rsidRDefault="003B5E48" w:rsidP="003B5E48"/>
    <w:p w14:paraId="6B989BCC" w14:textId="6C3E0D3D" w:rsidR="003B5E48" w:rsidRDefault="00520599" w:rsidP="003B5E48">
      <w:pPr>
        <w:jc w:val="center"/>
        <w:rPr>
          <w:b/>
          <w:color w:val="0070C0"/>
          <w:sz w:val="96"/>
          <w:szCs w:val="96"/>
        </w:rPr>
      </w:pPr>
      <w:r>
        <w:rPr>
          <w:b/>
          <w:color w:val="0070C0"/>
          <w:sz w:val="96"/>
          <w:szCs w:val="96"/>
        </w:rPr>
        <w:t>Vetting</w:t>
      </w:r>
      <w:r w:rsidR="003B5E48">
        <w:rPr>
          <w:b/>
          <w:color w:val="0070C0"/>
          <w:sz w:val="96"/>
          <w:szCs w:val="96"/>
        </w:rPr>
        <w:t xml:space="preserve"> Policy</w:t>
      </w:r>
    </w:p>
    <w:p w14:paraId="589DD1E0" w14:textId="77777777" w:rsidR="003B5E48" w:rsidRDefault="003B5E48" w:rsidP="003B5E48">
      <w:pPr>
        <w:jc w:val="center"/>
      </w:pPr>
      <w:r>
        <w:rPr>
          <w:noProof/>
        </w:rPr>
        <mc:AlternateContent>
          <mc:Choice Requires="wps">
            <w:drawing>
              <wp:anchor distT="0" distB="0" distL="114300" distR="114300" simplePos="0" relativeHeight="251660288" behindDoc="0" locked="0" layoutInCell="1" allowOverlap="1" wp14:anchorId="02D62434" wp14:editId="6C3784CD">
                <wp:simplePos x="0" y="0"/>
                <wp:positionH relativeFrom="column">
                  <wp:posOffset>123828</wp:posOffset>
                </wp:positionH>
                <wp:positionV relativeFrom="paragraph">
                  <wp:posOffset>19046</wp:posOffset>
                </wp:positionV>
                <wp:extent cx="5638793" cy="0"/>
                <wp:effectExtent l="0" t="19050" r="19057" b="19050"/>
                <wp:wrapNone/>
                <wp:docPr id="79602180"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53F0BDB5" id="Straight Connector 2" o:spid="_x0000_s1026" type="#_x0000_t32" style="position:absolute;margin-left:9.75pt;margin-top:1.5pt;width:44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39896673" w14:textId="77777777" w:rsidR="003B5E48" w:rsidRDefault="003B5E48" w:rsidP="003B5E48">
      <w:pPr>
        <w:jc w:val="center"/>
        <w:rPr>
          <w:b/>
          <w:color w:val="0070C0"/>
          <w:sz w:val="96"/>
          <w:szCs w:val="96"/>
        </w:rPr>
      </w:pPr>
    </w:p>
    <w:p w14:paraId="672C2F14" w14:textId="77777777" w:rsidR="003B5E48" w:rsidRDefault="003B5E48" w:rsidP="003B5E48">
      <w:pPr>
        <w:jc w:val="center"/>
        <w:rPr>
          <w:b/>
          <w:color w:val="0070C0"/>
          <w:sz w:val="96"/>
          <w:szCs w:val="96"/>
        </w:rPr>
      </w:pPr>
    </w:p>
    <w:p w14:paraId="1BB899DD" w14:textId="6F40B82F" w:rsidR="00D716B9" w:rsidRDefault="003B5E48" w:rsidP="003B5E48">
      <w:pPr>
        <w:jc w:val="center"/>
        <w:rPr>
          <w:b/>
          <w:color w:val="0070C0"/>
          <w:sz w:val="72"/>
          <w:szCs w:val="72"/>
        </w:rPr>
      </w:pPr>
      <w:r>
        <w:rPr>
          <w:b/>
          <w:color w:val="0070C0"/>
          <w:sz w:val="72"/>
          <w:szCs w:val="72"/>
        </w:rPr>
        <w:t xml:space="preserve">Date – </w:t>
      </w:r>
      <w:r w:rsidR="00520599">
        <w:rPr>
          <w:b/>
          <w:color w:val="0070C0"/>
          <w:sz w:val="72"/>
          <w:szCs w:val="72"/>
        </w:rPr>
        <w:t>October</w:t>
      </w:r>
      <w:r>
        <w:rPr>
          <w:b/>
          <w:color w:val="0070C0"/>
          <w:sz w:val="72"/>
          <w:szCs w:val="72"/>
        </w:rPr>
        <w:t xml:space="preserve"> 202</w:t>
      </w:r>
      <w:r w:rsidR="00BA21AD">
        <w:rPr>
          <w:b/>
          <w:color w:val="0070C0"/>
          <w:sz w:val="72"/>
          <w:szCs w:val="72"/>
        </w:rPr>
        <w:t>5</w:t>
      </w:r>
    </w:p>
    <w:p w14:paraId="7D6BBC90" w14:textId="77777777" w:rsidR="009827D4" w:rsidRDefault="009827D4" w:rsidP="003B5E48">
      <w:pPr>
        <w:jc w:val="center"/>
        <w:rPr>
          <w:b/>
          <w:color w:val="0070C0"/>
          <w:sz w:val="72"/>
          <w:szCs w:val="72"/>
        </w:rPr>
      </w:pPr>
    </w:p>
    <w:p w14:paraId="5FDCFBC4" w14:textId="77777777" w:rsidR="009827D4" w:rsidRDefault="009827D4" w:rsidP="003B5E48">
      <w:pPr>
        <w:jc w:val="center"/>
        <w:rPr>
          <w:b/>
          <w:color w:val="0070C0"/>
          <w:sz w:val="72"/>
          <w:szCs w:val="72"/>
        </w:rPr>
      </w:pPr>
    </w:p>
    <w:p w14:paraId="368585C2" w14:textId="77777777" w:rsidR="009827D4" w:rsidRDefault="009827D4" w:rsidP="009827D4">
      <w:pPr>
        <w:pStyle w:val="TOCHeading"/>
        <w:spacing w:before="0" w:after="120"/>
        <w:outlineLvl w:val="9"/>
        <w:rPr>
          <w:rFonts w:ascii="Aptos" w:hAnsi="Aptos" w:cs="Arial"/>
          <w:b/>
          <w:sz w:val="28"/>
          <w:szCs w:val="28"/>
        </w:rPr>
      </w:pPr>
      <w:r>
        <w:rPr>
          <w:rFonts w:ascii="Aptos" w:hAnsi="Aptos" w:cs="Arial"/>
          <w:b/>
          <w:sz w:val="28"/>
          <w:szCs w:val="28"/>
        </w:rPr>
        <w:lastRenderedPageBreak/>
        <w:t>Contents</w:t>
      </w:r>
    </w:p>
    <w:p w14:paraId="253A1790" w14:textId="13885154" w:rsidR="009827D4" w:rsidRDefault="009827D4">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r>
        <w:rPr>
          <w:rFonts w:ascii="Calibri Light" w:eastAsia="Times New Roman" w:hAnsi="Calibri Light"/>
          <w:color w:val="0D1C2F"/>
          <w:sz w:val="32"/>
          <w:szCs w:val="32"/>
        </w:rPr>
        <w:fldChar w:fldCharType="begin"/>
      </w:r>
      <w:r>
        <w:instrText xml:space="preserve"> TOC \o "1-3" \u \h </w:instrText>
      </w:r>
      <w:r>
        <w:rPr>
          <w:rFonts w:ascii="Calibri Light" w:eastAsia="Times New Roman" w:hAnsi="Calibri Light"/>
          <w:color w:val="0D1C2F"/>
          <w:sz w:val="32"/>
          <w:szCs w:val="32"/>
        </w:rPr>
        <w:fldChar w:fldCharType="separate"/>
      </w:r>
      <w:hyperlink w:anchor="_Toc178758559" w:history="1">
        <w:r w:rsidRPr="00456FDA">
          <w:rPr>
            <w:rStyle w:val="Hyperlink"/>
            <w:noProof/>
          </w:rPr>
          <w:t>1.</w:t>
        </w:r>
        <w:r>
          <w:rPr>
            <w:rFonts w:asciiTheme="minorHAnsi" w:eastAsiaTheme="minorEastAsia" w:hAnsiTheme="minorHAnsi" w:cstheme="minorBidi"/>
            <w:noProof/>
            <w:kern w:val="2"/>
            <w:sz w:val="24"/>
            <w:lang w:val="en-GB" w:eastAsia="en-GB"/>
            <w14:ligatures w14:val="standardContextual"/>
          </w:rPr>
          <w:tab/>
        </w:r>
        <w:r w:rsidRPr="00456FDA">
          <w:rPr>
            <w:rStyle w:val="Hyperlink"/>
            <w:noProof/>
          </w:rPr>
          <w:t>Aims of policy</w:t>
        </w:r>
        <w:r>
          <w:rPr>
            <w:noProof/>
          </w:rPr>
          <w:tab/>
        </w:r>
        <w:r>
          <w:rPr>
            <w:noProof/>
          </w:rPr>
          <w:fldChar w:fldCharType="begin"/>
        </w:r>
        <w:r>
          <w:rPr>
            <w:noProof/>
          </w:rPr>
          <w:instrText xml:space="preserve"> PAGEREF _Toc178758559 \h </w:instrText>
        </w:r>
        <w:r>
          <w:rPr>
            <w:noProof/>
          </w:rPr>
        </w:r>
        <w:r>
          <w:rPr>
            <w:noProof/>
          </w:rPr>
          <w:fldChar w:fldCharType="separate"/>
        </w:r>
        <w:r>
          <w:rPr>
            <w:noProof/>
          </w:rPr>
          <w:t>2</w:t>
        </w:r>
        <w:r>
          <w:rPr>
            <w:noProof/>
          </w:rPr>
          <w:fldChar w:fldCharType="end"/>
        </w:r>
      </w:hyperlink>
    </w:p>
    <w:p w14:paraId="40A6BCA4" w14:textId="04CBF00F" w:rsidR="009827D4" w:rsidRDefault="009827D4">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78758560" w:history="1">
        <w:r w:rsidRPr="00456FDA">
          <w:rPr>
            <w:rStyle w:val="Hyperlink"/>
            <w:noProof/>
          </w:rPr>
          <w:t>2.</w:t>
        </w:r>
        <w:r>
          <w:rPr>
            <w:rFonts w:asciiTheme="minorHAnsi" w:eastAsiaTheme="minorEastAsia" w:hAnsiTheme="minorHAnsi" w:cstheme="minorBidi"/>
            <w:noProof/>
            <w:kern w:val="2"/>
            <w:sz w:val="24"/>
            <w:lang w:val="en-GB" w:eastAsia="en-GB"/>
            <w14:ligatures w14:val="standardContextual"/>
          </w:rPr>
          <w:tab/>
        </w:r>
        <w:r w:rsidRPr="00456FDA">
          <w:rPr>
            <w:rStyle w:val="Hyperlink"/>
            <w:noProof/>
          </w:rPr>
          <w:t>Protocols</w:t>
        </w:r>
        <w:r>
          <w:rPr>
            <w:noProof/>
          </w:rPr>
          <w:tab/>
        </w:r>
        <w:r>
          <w:rPr>
            <w:noProof/>
          </w:rPr>
          <w:fldChar w:fldCharType="begin"/>
        </w:r>
        <w:r>
          <w:rPr>
            <w:noProof/>
          </w:rPr>
          <w:instrText xml:space="preserve"> PAGEREF _Toc178758560 \h </w:instrText>
        </w:r>
        <w:r>
          <w:rPr>
            <w:noProof/>
          </w:rPr>
        </w:r>
        <w:r>
          <w:rPr>
            <w:noProof/>
          </w:rPr>
          <w:fldChar w:fldCharType="separate"/>
        </w:r>
        <w:r>
          <w:rPr>
            <w:noProof/>
          </w:rPr>
          <w:t>2</w:t>
        </w:r>
        <w:r>
          <w:rPr>
            <w:noProof/>
          </w:rPr>
          <w:fldChar w:fldCharType="end"/>
        </w:r>
      </w:hyperlink>
    </w:p>
    <w:p w14:paraId="579FA470" w14:textId="1D80731A" w:rsidR="009827D4" w:rsidRDefault="009827D4">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78758561" w:history="1">
        <w:r w:rsidRPr="00456FDA">
          <w:rPr>
            <w:rStyle w:val="Hyperlink"/>
            <w:noProof/>
          </w:rPr>
          <w:t>3.</w:t>
        </w:r>
        <w:r>
          <w:rPr>
            <w:rFonts w:asciiTheme="minorHAnsi" w:eastAsiaTheme="minorEastAsia" w:hAnsiTheme="minorHAnsi" w:cstheme="minorBidi"/>
            <w:noProof/>
            <w:kern w:val="2"/>
            <w:sz w:val="24"/>
            <w:lang w:val="en-GB" w:eastAsia="en-GB"/>
            <w14:ligatures w14:val="standardContextual"/>
          </w:rPr>
          <w:tab/>
        </w:r>
        <w:r w:rsidRPr="00456FDA">
          <w:rPr>
            <w:rStyle w:val="Hyperlink"/>
            <w:noProof/>
          </w:rPr>
          <w:t>Guidelines for Visiting Speakers</w:t>
        </w:r>
        <w:r>
          <w:rPr>
            <w:noProof/>
          </w:rPr>
          <w:tab/>
        </w:r>
        <w:r>
          <w:rPr>
            <w:noProof/>
          </w:rPr>
          <w:fldChar w:fldCharType="begin"/>
        </w:r>
        <w:r>
          <w:rPr>
            <w:noProof/>
          </w:rPr>
          <w:instrText xml:space="preserve"> PAGEREF _Toc178758561 \h </w:instrText>
        </w:r>
        <w:r>
          <w:rPr>
            <w:noProof/>
          </w:rPr>
        </w:r>
        <w:r>
          <w:rPr>
            <w:noProof/>
          </w:rPr>
          <w:fldChar w:fldCharType="separate"/>
        </w:r>
        <w:r>
          <w:rPr>
            <w:noProof/>
          </w:rPr>
          <w:t>3</w:t>
        </w:r>
        <w:r>
          <w:rPr>
            <w:noProof/>
          </w:rPr>
          <w:fldChar w:fldCharType="end"/>
        </w:r>
      </w:hyperlink>
    </w:p>
    <w:p w14:paraId="1B754247" w14:textId="227433C2" w:rsidR="00520599" w:rsidRPr="003B5E48" w:rsidRDefault="009827D4" w:rsidP="009827D4">
      <w:pPr>
        <w:jc w:val="center"/>
        <w:rPr>
          <w:b/>
          <w:color w:val="0070C0"/>
          <w:sz w:val="72"/>
          <w:szCs w:val="72"/>
        </w:rPr>
      </w:pPr>
      <w:r>
        <w:fldChar w:fldCharType="end"/>
      </w:r>
    </w:p>
    <w:p w14:paraId="2639DCB0" w14:textId="20C75FF2" w:rsidR="00FA527E" w:rsidRPr="000550BE" w:rsidRDefault="00636AF0" w:rsidP="000550BE">
      <w:pPr>
        <w:pStyle w:val="Heading1"/>
      </w:pPr>
      <w:bookmarkStart w:id="0" w:name="_Toc178758559"/>
      <w:r w:rsidRPr="000550BE">
        <w:t>Aims of policy</w:t>
      </w:r>
      <w:bookmarkEnd w:id="0"/>
    </w:p>
    <w:p w14:paraId="2639DCB1" w14:textId="77777777" w:rsidR="00FA527E" w:rsidRPr="00611346" w:rsidRDefault="00636AF0">
      <w:pPr>
        <w:rPr>
          <w:rFonts w:asciiTheme="minorHAnsi" w:hAnsiTheme="minorHAnsi"/>
          <w:sz w:val="20"/>
          <w:szCs w:val="20"/>
        </w:rPr>
      </w:pPr>
      <w:r w:rsidRPr="00611346">
        <w:rPr>
          <w:rFonts w:asciiTheme="minorHAnsi" w:hAnsiTheme="minorHAnsi"/>
          <w:sz w:val="20"/>
          <w:szCs w:val="20"/>
        </w:rPr>
        <w:t xml:space="preserve">We often invite speakers from our wider community to give talks to enrich our pupils’ experience of school, providing them with information which helps them make decisions at different phases of their education, widening their understanding of world and global issues, and providing motivational inspiration through the sharing of a speaker’s experience. </w:t>
      </w:r>
    </w:p>
    <w:p w14:paraId="2639DCB2" w14:textId="77777777" w:rsidR="00FA527E" w:rsidRPr="00611346" w:rsidRDefault="00636AF0">
      <w:pPr>
        <w:rPr>
          <w:rFonts w:asciiTheme="minorHAnsi" w:hAnsiTheme="minorHAnsi"/>
          <w:sz w:val="20"/>
          <w:szCs w:val="20"/>
        </w:rPr>
      </w:pPr>
      <w:r w:rsidRPr="00611346">
        <w:rPr>
          <w:rFonts w:asciiTheme="minorHAnsi" w:hAnsiTheme="minorHAnsi"/>
          <w:sz w:val="20"/>
          <w:szCs w:val="20"/>
        </w:rPr>
        <w:t xml:space="preserve">Our responsibility to our students is to ensure that they can critically assess the information they receive as to its value to themselves, and that the information presented is in sympathy with the ethos and values of the School, the rule of law, individual liberty, mutual respect and tolerance of those with different faiths and beliefs (referred to as “British Values”). </w:t>
      </w:r>
    </w:p>
    <w:p w14:paraId="2639DCB3" w14:textId="77777777" w:rsidR="00FA527E" w:rsidRPr="00611346" w:rsidRDefault="00636AF0">
      <w:pPr>
        <w:rPr>
          <w:rFonts w:asciiTheme="minorHAnsi" w:hAnsiTheme="minorHAnsi"/>
          <w:sz w:val="20"/>
          <w:szCs w:val="20"/>
        </w:rPr>
      </w:pPr>
      <w:r w:rsidRPr="00611346">
        <w:rPr>
          <w:rFonts w:asciiTheme="minorHAnsi" w:hAnsiTheme="minorHAnsi"/>
          <w:sz w:val="20"/>
          <w:szCs w:val="20"/>
        </w:rPr>
        <w:t xml:space="preserve">The purpose of this policy is to set out the School’s obligations when using visiting speakers and what the School expects from visiting speakers. This policy has been drawn up with due regard to the Government’s Prevent Duty guidance and the School’s wider safeguarding obligations. The ‘Prevent’ statutory guidance (The Prevent Duty: Departmental advice for schools and childcare providers, DfE, June 2015, updated April 2021) (https://www.gov.uk/government/publications/prevent-duty-guidance) requires schools to have clear protocols for ensuring that any visiting speakers, whether invited by staff or pupils, are suitable and appropriately supervised. This policy should be read in conjunction with the School’s Safeguarding and Child Protection Policy and the School’s Prevent Policy. </w:t>
      </w:r>
    </w:p>
    <w:p w14:paraId="2639DCB4" w14:textId="56CC706A" w:rsidR="00FA527E" w:rsidRPr="00611346" w:rsidRDefault="00636AF0" w:rsidP="000550BE">
      <w:pPr>
        <w:pStyle w:val="Heading1"/>
      </w:pPr>
      <w:bookmarkStart w:id="1" w:name="_Toc178758560"/>
      <w:r w:rsidRPr="00611346">
        <w:t>Protocols</w:t>
      </w:r>
      <w:bookmarkEnd w:id="1"/>
      <w:r w:rsidRPr="00611346">
        <w:t xml:space="preserve"> </w:t>
      </w:r>
    </w:p>
    <w:p w14:paraId="2639DCB5" w14:textId="77777777" w:rsidR="00FA527E" w:rsidRPr="00611346" w:rsidRDefault="00636AF0">
      <w:pPr>
        <w:pStyle w:val="ListParagraph"/>
        <w:numPr>
          <w:ilvl w:val="0"/>
          <w:numId w:val="1"/>
        </w:numPr>
        <w:rPr>
          <w:rFonts w:asciiTheme="minorHAnsi" w:hAnsiTheme="minorHAnsi"/>
          <w:sz w:val="20"/>
          <w:szCs w:val="20"/>
        </w:rPr>
      </w:pPr>
      <w:r w:rsidRPr="00611346">
        <w:rPr>
          <w:rFonts w:asciiTheme="minorHAnsi" w:hAnsiTheme="minorHAnsi"/>
          <w:sz w:val="20"/>
          <w:szCs w:val="20"/>
        </w:rPr>
        <w:t xml:space="preserve">All visiting speakers must have a nominated point of contact at the school (the Organiser). </w:t>
      </w:r>
    </w:p>
    <w:p w14:paraId="2639DCB6" w14:textId="77777777" w:rsidR="00FA527E" w:rsidRPr="00611346" w:rsidRDefault="00636AF0">
      <w:pPr>
        <w:pStyle w:val="ListParagraph"/>
        <w:numPr>
          <w:ilvl w:val="0"/>
          <w:numId w:val="1"/>
        </w:numPr>
        <w:rPr>
          <w:rFonts w:asciiTheme="minorHAnsi" w:hAnsiTheme="minorHAnsi"/>
          <w:sz w:val="20"/>
          <w:szCs w:val="20"/>
        </w:rPr>
      </w:pPr>
      <w:r w:rsidRPr="00611346">
        <w:rPr>
          <w:rFonts w:asciiTheme="minorHAnsi" w:hAnsiTheme="minorHAnsi"/>
          <w:sz w:val="20"/>
          <w:szCs w:val="20"/>
        </w:rPr>
        <w:t>The visiting speaker must use the electronic sign in system at reception before entering the school.</w:t>
      </w:r>
    </w:p>
    <w:p w14:paraId="2639DCB7" w14:textId="77777777" w:rsidR="00FA527E" w:rsidRPr="00611346" w:rsidRDefault="00636AF0">
      <w:pPr>
        <w:pStyle w:val="ListParagraph"/>
        <w:numPr>
          <w:ilvl w:val="0"/>
          <w:numId w:val="1"/>
        </w:numPr>
        <w:rPr>
          <w:rFonts w:asciiTheme="minorHAnsi" w:hAnsiTheme="minorHAnsi"/>
          <w:sz w:val="20"/>
          <w:szCs w:val="20"/>
        </w:rPr>
      </w:pPr>
      <w:r w:rsidRPr="00611346">
        <w:rPr>
          <w:rFonts w:asciiTheme="minorHAnsi" w:hAnsiTheme="minorHAnsi"/>
          <w:sz w:val="20"/>
          <w:szCs w:val="20"/>
        </w:rPr>
        <w:t xml:space="preserve">Research must be undertaken on the person/organisation to establish whether they have demonstrated extreme views/actions. </w:t>
      </w:r>
    </w:p>
    <w:p w14:paraId="2639DCB8" w14:textId="77777777" w:rsidR="00FA527E" w:rsidRPr="00611346" w:rsidRDefault="00636AF0">
      <w:pPr>
        <w:pStyle w:val="ListParagraph"/>
        <w:numPr>
          <w:ilvl w:val="0"/>
          <w:numId w:val="1"/>
        </w:numPr>
        <w:rPr>
          <w:rFonts w:asciiTheme="minorHAnsi" w:hAnsiTheme="minorHAnsi"/>
          <w:sz w:val="20"/>
          <w:szCs w:val="20"/>
        </w:rPr>
      </w:pPr>
      <w:r w:rsidRPr="00611346">
        <w:rPr>
          <w:rFonts w:asciiTheme="minorHAnsi" w:eastAsia="Symbol" w:hAnsiTheme="minorHAnsi" w:cs="Symbol"/>
          <w:sz w:val="20"/>
          <w:szCs w:val="20"/>
        </w:rPr>
        <w:t></w:t>
      </w:r>
      <w:r w:rsidRPr="00611346">
        <w:rPr>
          <w:rFonts w:asciiTheme="minorHAnsi" w:hAnsiTheme="minorHAnsi"/>
          <w:sz w:val="20"/>
          <w:szCs w:val="20"/>
        </w:rPr>
        <w:t xml:space="preserve">The School can refuse to allow people/organisations to use school premises if it is suspected or proven that they have links to extreme groups or movements. </w:t>
      </w:r>
    </w:p>
    <w:p w14:paraId="2639DCB9" w14:textId="77777777" w:rsidR="00FA527E" w:rsidRPr="00611346" w:rsidRDefault="00636AF0">
      <w:pPr>
        <w:pStyle w:val="ListParagraph"/>
        <w:numPr>
          <w:ilvl w:val="0"/>
          <w:numId w:val="1"/>
        </w:numPr>
        <w:rPr>
          <w:rFonts w:asciiTheme="minorHAnsi" w:hAnsiTheme="minorHAnsi"/>
          <w:sz w:val="20"/>
          <w:szCs w:val="20"/>
        </w:rPr>
      </w:pPr>
      <w:r w:rsidRPr="00611346">
        <w:rPr>
          <w:rFonts w:asciiTheme="minorHAnsi" w:hAnsiTheme="minorHAnsi"/>
          <w:sz w:val="20"/>
          <w:szCs w:val="20"/>
        </w:rPr>
        <w:t xml:space="preserve"> A Register of all visiting speakers will be kept via the electronic sign in system. Any information gathered will be kept in accordance with the School’s Data Protection Policy. </w:t>
      </w:r>
    </w:p>
    <w:p w14:paraId="2639DCBA" w14:textId="77777777" w:rsidR="00FA527E" w:rsidRPr="00611346" w:rsidRDefault="00636AF0">
      <w:pPr>
        <w:pStyle w:val="ListParagraph"/>
        <w:numPr>
          <w:ilvl w:val="0"/>
          <w:numId w:val="1"/>
        </w:numPr>
        <w:rPr>
          <w:rFonts w:asciiTheme="minorHAnsi" w:hAnsiTheme="minorHAnsi"/>
          <w:sz w:val="20"/>
          <w:szCs w:val="20"/>
        </w:rPr>
      </w:pPr>
      <w:r w:rsidRPr="00611346">
        <w:rPr>
          <w:rFonts w:asciiTheme="minorHAnsi" w:hAnsiTheme="minorHAnsi"/>
          <w:sz w:val="20"/>
          <w:szCs w:val="20"/>
        </w:rPr>
        <w:t xml:space="preserve"> Visiting speakers will provide photo ID upon arrival at School and a copy will be taken. </w:t>
      </w:r>
    </w:p>
    <w:p w14:paraId="2639DCBB" w14:textId="77777777" w:rsidR="00FA527E" w:rsidRPr="00611346" w:rsidRDefault="00636AF0">
      <w:pPr>
        <w:pStyle w:val="ListParagraph"/>
        <w:numPr>
          <w:ilvl w:val="0"/>
          <w:numId w:val="1"/>
        </w:numPr>
        <w:rPr>
          <w:rFonts w:asciiTheme="minorHAnsi" w:hAnsiTheme="minorHAnsi"/>
          <w:sz w:val="20"/>
          <w:szCs w:val="20"/>
        </w:rPr>
      </w:pPr>
      <w:r w:rsidRPr="00611346">
        <w:rPr>
          <w:rFonts w:asciiTheme="minorHAnsi" w:hAnsiTheme="minorHAnsi"/>
          <w:sz w:val="20"/>
          <w:szCs w:val="20"/>
        </w:rPr>
        <w:t xml:space="preserve"> Visiting speakers should be always accompanied and should not be left unsupervised with pupils at any point. </w:t>
      </w:r>
    </w:p>
    <w:p w14:paraId="2639DCBC" w14:textId="77777777" w:rsidR="00FA527E" w:rsidRPr="00611346" w:rsidRDefault="00636AF0">
      <w:pPr>
        <w:pStyle w:val="ListParagraph"/>
        <w:numPr>
          <w:ilvl w:val="0"/>
          <w:numId w:val="1"/>
        </w:numPr>
        <w:rPr>
          <w:rFonts w:asciiTheme="minorHAnsi" w:hAnsiTheme="minorHAnsi"/>
          <w:sz w:val="20"/>
          <w:szCs w:val="20"/>
        </w:rPr>
      </w:pPr>
      <w:r w:rsidRPr="00611346">
        <w:rPr>
          <w:rFonts w:asciiTheme="minorHAnsi" w:hAnsiTheme="minorHAnsi"/>
          <w:sz w:val="20"/>
          <w:szCs w:val="20"/>
        </w:rPr>
        <w:t xml:space="preserve"> School staff have the right and responsibility to interrupt and/or stop a presentation, should it not meet the criteria outlined above. </w:t>
      </w:r>
    </w:p>
    <w:p w14:paraId="2639DCBD" w14:textId="77777777" w:rsidR="00FA527E" w:rsidRPr="00611346" w:rsidRDefault="00FA527E">
      <w:pPr>
        <w:rPr>
          <w:rFonts w:asciiTheme="minorHAnsi" w:hAnsiTheme="minorHAnsi"/>
          <w:b/>
          <w:bCs/>
          <w:sz w:val="20"/>
          <w:szCs w:val="20"/>
        </w:rPr>
      </w:pPr>
    </w:p>
    <w:p w14:paraId="2639DCBE" w14:textId="77777777" w:rsidR="00FA527E" w:rsidRPr="00611346" w:rsidRDefault="00636AF0" w:rsidP="000550BE">
      <w:pPr>
        <w:pStyle w:val="Heading1"/>
      </w:pPr>
      <w:bookmarkStart w:id="2" w:name="_Toc178758561"/>
      <w:r w:rsidRPr="00611346">
        <w:lastRenderedPageBreak/>
        <w:t>Guidelines for Visiting Speakers</w:t>
      </w:r>
      <w:bookmarkEnd w:id="2"/>
      <w:r w:rsidRPr="00611346">
        <w:t xml:space="preserve"> </w:t>
      </w:r>
    </w:p>
    <w:p w14:paraId="2639DCBF" w14:textId="77777777" w:rsidR="00FA527E" w:rsidRPr="00611346" w:rsidRDefault="00636AF0">
      <w:pPr>
        <w:rPr>
          <w:rFonts w:asciiTheme="minorHAnsi" w:hAnsiTheme="minorHAnsi"/>
          <w:sz w:val="20"/>
          <w:szCs w:val="20"/>
        </w:rPr>
      </w:pPr>
      <w:r w:rsidRPr="00611346">
        <w:rPr>
          <w:rFonts w:asciiTheme="minorHAnsi" w:hAnsiTheme="minorHAnsi"/>
          <w:sz w:val="20"/>
          <w:szCs w:val="20"/>
        </w:rPr>
        <w:t xml:space="preserve">The School values visits from speakers who enrich and broaden our pupils’ experience and knowledge. They provide them with information which helps them make decisions at different phases of their education, widens their understanding of world and global issues, and provides motivational inspiration through the sharing of a speaker’s experience. </w:t>
      </w:r>
    </w:p>
    <w:p w14:paraId="2639DCC0" w14:textId="77777777" w:rsidR="00FA527E" w:rsidRPr="00611346" w:rsidRDefault="00636AF0">
      <w:pPr>
        <w:rPr>
          <w:rFonts w:asciiTheme="minorHAnsi" w:hAnsiTheme="minorHAnsi"/>
          <w:sz w:val="20"/>
          <w:szCs w:val="20"/>
        </w:rPr>
      </w:pPr>
      <w:r w:rsidRPr="00611346">
        <w:rPr>
          <w:rFonts w:asciiTheme="minorHAnsi" w:hAnsiTheme="minorHAnsi"/>
          <w:sz w:val="20"/>
          <w:szCs w:val="20"/>
        </w:rPr>
        <w:t xml:space="preserve">Our responsibility to our students is to ensure that they can critically assess the information they receive as to its value to themselves, and that the information is in sympathy with the ethos and values of the School and the tenets of the School, the rule of law, individual liberty, mutual respect and tolerance of those with different faiths and beliefs (referred to as “British Values”). The ‘Prevent’ statutory guidance (The Prevent Duty: Departmental advice for schools and childcare providers’. DfE, June 2015, updated April 2021) (https://www.gov.uk/government/publications/prevent-duty-guidance) requires schools to have clear protocols for ensuring that any visiting speakers whether invited by staff or pupils, are suitable and appropriately supervised. </w:t>
      </w:r>
    </w:p>
    <w:p w14:paraId="2639DCC1" w14:textId="77777777" w:rsidR="00FA527E" w:rsidRPr="00611346" w:rsidRDefault="00636AF0">
      <w:pPr>
        <w:rPr>
          <w:rFonts w:asciiTheme="minorHAnsi" w:hAnsiTheme="minorHAnsi"/>
          <w:sz w:val="20"/>
          <w:szCs w:val="20"/>
        </w:rPr>
      </w:pPr>
      <w:r w:rsidRPr="00611346">
        <w:rPr>
          <w:rFonts w:asciiTheme="minorHAnsi" w:hAnsiTheme="minorHAnsi"/>
          <w:sz w:val="20"/>
          <w:szCs w:val="20"/>
        </w:rPr>
        <w:t xml:space="preserve">As per the ‘Prevent’ guidance, visiting speakers are required to agree to the following terms and conditions: </w:t>
      </w:r>
    </w:p>
    <w:p w14:paraId="2639DCC2" w14:textId="77777777" w:rsidR="00FA527E" w:rsidRPr="00611346" w:rsidRDefault="00636AF0">
      <w:pPr>
        <w:rPr>
          <w:rFonts w:asciiTheme="minorHAnsi" w:hAnsiTheme="minorHAnsi"/>
          <w:sz w:val="20"/>
          <w:szCs w:val="20"/>
        </w:rPr>
      </w:pPr>
      <w:r w:rsidRPr="00611346">
        <w:rPr>
          <w:rFonts w:asciiTheme="minorHAnsi" w:hAnsiTheme="minorHAnsi"/>
          <w:sz w:val="20"/>
          <w:szCs w:val="20"/>
        </w:rPr>
        <w:t xml:space="preserve">1. The presentation must not incite hatred, violence or call for the breaking of the law. </w:t>
      </w:r>
    </w:p>
    <w:p w14:paraId="2639DCC3" w14:textId="77777777" w:rsidR="00FA527E" w:rsidRPr="00611346" w:rsidRDefault="00636AF0">
      <w:pPr>
        <w:rPr>
          <w:rFonts w:asciiTheme="minorHAnsi" w:hAnsiTheme="minorHAnsi"/>
          <w:sz w:val="20"/>
          <w:szCs w:val="20"/>
        </w:rPr>
      </w:pPr>
      <w:r w:rsidRPr="00611346">
        <w:rPr>
          <w:rFonts w:asciiTheme="minorHAnsi" w:hAnsiTheme="minorHAnsi"/>
          <w:sz w:val="20"/>
          <w:szCs w:val="20"/>
        </w:rPr>
        <w:t xml:space="preserve">2. The visiting speaker is not permitted to encourage, glorify or promote any acts of terrorism, including individuals, groups or organisations which support such acts. </w:t>
      </w:r>
    </w:p>
    <w:p w14:paraId="2639DCC4" w14:textId="77777777" w:rsidR="00FA527E" w:rsidRPr="00611346" w:rsidRDefault="00636AF0">
      <w:pPr>
        <w:rPr>
          <w:rFonts w:asciiTheme="minorHAnsi" w:hAnsiTheme="minorHAnsi"/>
          <w:sz w:val="20"/>
          <w:szCs w:val="20"/>
        </w:rPr>
      </w:pPr>
      <w:r w:rsidRPr="00611346">
        <w:rPr>
          <w:rFonts w:asciiTheme="minorHAnsi" w:hAnsiTheme="minorHAnsi"/>
          <w:sz w:val="20"/>
          <w:szCs w:val="20"/>
        </w:rPr>
        <w:t xml:space="preserve">3. The visiting speaker must not spread hatred and intolerance of any minority group/s in the community. </w:t>
      </w:r>
    </w:p>
    <w:p w14:paraId="2639DCC5" w14:textId="77777777" w:rsidR="00FA527E" w:rsidRPr="00611346" w:rsidRDefault="00636AF0">
      <w:pPr>
        <w:rPr>
          <w:rFonts w:asciiTheme="minorHAnsi" w:hAnsiTheme="minorHAnsi"/>
          <w:sz w:val="20"/>
          <w:szCs w:val="20"/>
        </w:rPr>
      </w:pPr>
      <w:r w:rsidRPr="00611346">
        <w:rPr>
          <w:rFonts w:asciiTheme="minorHAnsi" w:hAnsiTheme="minorHAnsi"/>
          <w:sz w:val="20"/>
          <w:szCs w:val="20"/>
        </w:rPr>
        <w:t>4. The visiting speaker must seek to avoid insulting other faiths or groups, within a framework of positive debate and challenge.</w:t>
      </w:r>
    </w:p>
    <w:p w14:paraId="2639DCC6" w14:textId="77777777" w:rsidR="00FA527E" w:rsidRPr="00611346" w:rsidRDefault="00636AF0">
      <w:pPr>
        <w:rPr>
          <w:rFonts w:asciiTheme="minorHAnsi" w:hAnsiTheme="minorHAnsi"/>
          <w:sz w:val="20"/>
          <w:szCs w:val="20"/>
        </w:rPr>
      </w:pPr>
      <w:r w:rsidRPr="00611346">
        <w:rPr>
          <w:rFonts w:asciiTheme="minorHAnsi" w:hAnsiTheme="minorHAnsi"/>
          <w:sz w:val="20"/>
          <w:szCs w:val="20"/>
        </w:rPr>
        <w:t xml:space="preserve"> 5. Visiting speakers are not permitted to raise or gather funds for any external organisation or cause without express permission from the Headteacher. </w:t>
      </w:r>
    </w:p>
    <w:p w14:paraId="2639DCC7" w14:textId="77777777" w:rsidR="00FA527E" w:rsidRDefault="00636AF0">
      <w:pPr>
        <w:rPr>
          <w:rFonts w:asciiTheme="minorHAnsi" w:hAnsiTheme="minorHAnsi"/>
          <w:sz w:val="20"/>
          <w:szCs w:val="20"/>
        </w:rPr>
      </w:pPr>
      <w:r w:rsidRPr="00611346">
        <w:rPr>
          <w:rFonts w:asciiTheme="minorHAnsi" w:hAnsiTheme="minorHAnsi"/>
          <w:sz w:val="20"/>
          <w:szCs w:val="20"/>
        </w:rPr>
        <w:t>6. School staff have the right and responsibility to interrupt and/or stop the presentation for any violation of the agreement</w:t>
      </w:r>
    </w:p>
    <w:p w14:paraId="31355EF3" w14:textId="77777777" w:rsidR="009827D4" w:rsidRDefault="009827D4">
      <w:pPr>
        <w:rPr>
          <w:rFonts w:asciiTheme="minorHAnsi" w:hAnsiTheme="minorHAnsi"/>
          <w:sz w:val="20"/>
          <w:szCs w:val="20"/>
        </w:rPr>
      </w:pPr>
    </w:p>
    <w:p w14:paraId="73737F93" w14:textId="77777777" w:rsidR="009827D4" w:rsidRDefault="009827D4">
      <w:pPr>
        <w:rPr>
          <w:rFonts w:asciiTheme="minorHAnsi" w:hAnsiTheme="minorHAnsi"/>
          <w:sz w:val="20"/>
          <w:szCs w:val="20"/>
        </w:rPr>
      </w:pPr>
    </w:p>
    <w:p w14:paraId="51BBB7B3" w14:textId="77777777" w:rsidR="009827D4" w:rsidRDefault="009827D4">
      <w:pPr>
        <w:rPr>
          <w:rFonts w:asciiTheme="minorHAnsi" w:hAnsiTheme="minorHAnsi"/>
          <w:sz w:val="20"/>
          <w:szCs w:val="20"/>
        </w:rPr>
      </w:pPr>
    </w:p>
    <w:p w14:paraId="263BB13B" w14:textId="77777777" w:rsidR="009827D4" w:rsidRDefault="009827D4">
      <w:pPr>
        <w:rPr>
          <w:rFonts w:asciiTheme="minorHAnsi" w:hAnsiTheme="minorHAnsi"/>
          <w:sz w:val="20"/>
          <w:szCs w:val="20"/>
        </w:rPr>
      </w:pPr>
    </w:p>
    <w:tbl>
      <w:tblPr>
        <w:tblW w:w="9317" w:type="dxa"/>
        <w:tblInd w:w="-108" w:type="dxa"/>
        <w:tblCellMar>
          <w:left w:w="10" w:type="dxa"/>
          <w:right w:w="10" w:type="dxa"/>
        </w:tblCellMar>
        <w:tblLook w:val="0000" w:firstRow="0" w:lastRow="0" w:firstColumn="0" w:lastColumn="0" w:noHBand="0" w:noVBand="0"/>
      </w:tblPr>
      <w:tblGrid>
        <w:gridCol w:w="3647"/>
        <w:gridCol w:w="5670"/>
      </w:tblGrid>
      <w:tr w:rsidR="00BF530C" w14:paraId="1B471919" w14:textId="77777777" w:rsidTr="004B3A18">
        <w:trPr>
          <w:trHeight w:val="288"/>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415DDB22" w14:textId="77777777" w:rsidR="00BF530C" w:rsidRPr="00BF530C" w:rsidRDefault="00BF530C" w:rsidP="004B3A18">
            <w:pPr>
              <w:spacing w:after="0" w:line="256" w:lineRule="auto"/>
              <w:rPr>
                <w:sz w:val="20"/>
                <w:szCs w:val="20"/>
              </w:rPr>
            </w:pPr>
            <w:r w:rsidRPr="00BF530C">
              <w:rPr>
                <w:b/>
                <w:sz w:val="20"/>
                <w:szCs w:val="20"/>
                <w:lang w:eastAsia="en-GB"/>
              </w:rPr>
              <w:t xml:space="preserve">Document Title: </w:t>
            </w:r>
            <w:r w:rsidRPr="00BF530C">
              <w:rPr>
                <w:sz w:val="20"/>
                <w:szCs w:val="20"/>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48AC7667" w14:textId="278E8DF8" w:rsidR="00BF530C" w:rsidRPr="00BF530C" w:rsidRDefault="00BF530C" w:rsidP="004B3A18">
            <w:pPr>
              <w:spacing w:after="0" w:line="256" w:lineRule="auto"/>
              <w:rPr>
                <w:sz w:val="20"/>
                <w:szCs w:val="20"/>
              </w:rPr>
            </w:pPr>
            <w:r>
              <w:rPr>
                <w:b/>
                <w:sz w:val="20"/>
                <w:szCs w:val="20"/>
                <w:lang w:eastAsia="en-GB"/>
              </w:rPr>
              <w:t>Vetting</w:t>
            </w:r>
            <w:r w:rsidRPr="00BF530C">
              <w:rPr>
                <w:b/>
                <w:sz w:val="20"/>
                <w:szCs w:val="20"/>
                <w:lang w:eastAsia="en-GB"/>
              </w:rPr>
              <w:t xml:space="preserve"> Policy </w:t>
            </w:r>
            <w:r w:rsidRPr="00BF530C">
              <w:rPr>
                <w:sz w:val="20"/>
                <w:szCs w:val="20"/>
                <w:lang w:eastAsia="en-GB"/>
              </w:rPr>
              <w:t xml:space="preserve"> </w:t>
            </w:r>
          </w:p>
        </w:tc>
      </w:tr>
      <w:tr w:rsidR="00BF530C" w14:paraId="794B5990" w14:textId="77777777" w:rsidTr="004B3A18">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19A9918" w14:textId="77777777" w:rsidR="00BF530C" w:rsidRPr="00BF530C" w:rsidRDefault="00BF530C" w:rsidP="004B3A18">
            <w:pPr>
              <w:spacing w:after="0" w:line="256" w:lineRule="auto"/>
              <w:rPr>
                <w:sz w:val="20"/>
                <w:szCs w:val="20"/>
              </w:rPr>
            </w:pPr>
            <w:r w:rsidRPr="00BF530C">
              <w:rPr>
                <w:b/>
                <w:sz w:val="20"/>
                <w:szCs w:val="20"/>
                <w:lang w:eastAsia="en-GB"/>
              </w:rPr>
              <w:t xml:space="preserve">Version: </w:t>
            </w:r>
            <w:r w:rsidRPr="00BF530C">
              <w:rPr>
                <w:sz w:val="20"/>
                <w:szCs w:val="20"/>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2EFEC5B" w14:textId="77777777" w:rsidR="00BF530C" w:rsidRPr="00BF530C" w:rsidRDefault="00BF530C" w:rsidP="004B3A18">
            <w:pPr>
              <w:spacing w:after="0" w:line="256" w:lineRule="auto"/>
              <w:rPr>
                <w:sz w:val="20"/>
                <w:szCs w:val="20"/>
                <w:lang w:eastAsia="en-GB"/>
              </w:rPr>
            </w:pPr>
            <w:r w:rsidRPr="00BF530C">
              <w:rPr>
                <w:sz w:val="20"/>
                <w:szCs w:val="20"/>
                <w:lang w:eastAsia="en-GB"/>
              </w:rPr>
              <w:t xml:space="preserve"> 1</w:t>
            </w:r>
          </w:p>
        </w:tc>
      </w:tr>
      <w:tr w:rsidR="00BF530C" w14:paraId="32ECEA43" w14:textId="77777777" w:rsidTr="004B3A18">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AB7E8EA" w14:textId="77777777" w:rsidR="00BF530C" w:rsidRPr="00BF530C" w:rsidRDefault="00BF530C" w:rsidP="004B3A18">
            <w:pPr>
              <w:spacing w:after="0" w:line="256" w:lineRule="auto"/>
              <w:rPr>
                <w:sz w:val="20"/>
                <w:szCs w:val="20"/>
              </w:rPr>
            </w:pPr>
            <w:r w:rsidRPr="00BF530C">
              <w:rPr>
                <w:b/>
                <w:sz w:val="20"/>
                <w:szCs w:val="20"/>
                <w:lang w:eastAsia="en-GB"/>
              </w:rPr>
              <w:t xml:space="preserve">Prepared by: </w:t>
            </w:r>
            <w:r w:rsidRPr="00BF530C">
              <w:rPr>
                <w:sz w:val="20"/>
                <w:szCs w:val="20"/>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C6F3FBC" w14:textId="77777777" w:rsidR="00BF530C" w:rsidRPr="00BF530C" w:rsidRDefault="00BF530C" w:rsidP="004B3A18">
            <w:pPr>
              <w:spacing w:after="0" w:line="256" w:lineRule="auto"/>
              <w:rPr>
                <w:sz w:val="20"/>
                <w:szCs w:val="20"/>
                <w:lang w:eastAsia="en-GB"/>
              </w:rPr>
            </w:pPr>
            <w:r w:rsidRPr="00BF530C">
              <w:rPr>
                <w:sz w:val="20"/>
                <w:szCs w:val="20"/>
                <w:lang w:eastAsia="en-GB"/>
              </w:rPr>
              <w:t xml:space="preserve"> Sophie Chidwick</w:t>
            </w:r>
          </w:p>
        </w:tc>
      </w:tr>
      <w:tr w:rsidR="00BF530C" w14:paraId="6842D453" w14:textId="77777777" w:rsidTr="004B3A18">
        <w:trPr>
          <w:trHeight w:val="288"/>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45E3D372" w14:textId="77777777" w:rsidR="00BF530C" w:rsidRPr="00BF530C" w:rsidRDefault="00BF530C" w:rsidP="004B3A18">
            <w:pPr>
              <w:spacing w:after="0" w:line="256" w:lineRule="auto"/>
              <w:rPr>
                <w:sz w:val="20"/>
                <w:szCs w:val="20"/>
              </w:rPr>
            </w:pPr>
            <w:r w:rsidRPr="00BF530C">
              <w:rPr>
                <w:b/>
                <w:sz w:val="20"/>
                <w:szCs w:val="20"/>
                <w:lang w:eastAsia="en-GB"/>
              </w:rPr>
              <w:t xml:space="preserve">Governing Body Acceptance Date: </w:t>
            </w:r>
            <w:r w:rsidRPr="00BF530C">
              <w:rPr>
                <w:sz w:val="20"/>
                <w:szCs w:val="20"/>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033A4B7" w14:textId="77777777" w:rsidR="00BF530C" w:rsidRPr="00BF530C" w:rsidRDefault="00BF530C" w:rsidP="004B3A18">
            <w:pPr>
              <w:spacing w:after="0" w:line="256" w:lineRule="auto"/>
              <w:rPr>
                <w:sz w:val="20"/>
                <w:szCs w:val="20"/>
                <w:lang w:eastAsia="en-GB"/>
              </w:rPr>
            </w:pPr>
            <w:r w:rsidRPr="00BF530C">
              <w:rPr>
                <w:sz w:val="20"/>
                <w:szCs w:val="20"/>
                <w:lang w:eastAsia="en-GB"/>
              </w:rPr>
              <w:t xml:space="preserve"> </w:t>
            </w:r>
          </w:p>
        </w:tc>
      </w:tr>
      <w:tr w:rsidR="00BF530C" w14:paraId="5BC87EFB" w14:textId="77777777" w:rsidTr="004B3A18">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6D857CE" w14:textId="77777777" w:rsidR="00BF530C" w:rsidRPr="00BF530C" w:rsidRDefault="00BF530C" w:rsidP="004B3A18">
            <w:pPr>
              <w:spacing w:after="0" w:line="256" w:lineRule="auto"/>
              <w:rPr>
                <w:sz w:val="20"/>
                <w:szCs w:val="20"/>
              </w:rPr>
            </w:pPr>
            <w:r w:rsidRPr="00BF530C">
              <w:rPr>
                <w:b/>
                <w:sz w:val="20"/>
                <w:szCs w:val="20"/>
                <w:lang w:eastAsia="en-GB"/>
              </w:rPr>
              <w:t xml:space="preserve">Date for Next Review: </w:t>
            </w:r>
            <w:r w:rsidRPr="00BF530C">
              <w:rPr>
                <w:sz w:val="20"/>
                <w:szCs w:val="20"/>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4AD6A02" w14:textId="5498AD51" w:rsidR="00BF530C" w:rsidRPr="00BF530C" w:rsidRDefault="00BF530C" w:rsidP="004B3A18">
            <w:pPr>
              <w:spacing w:after="0" w:line="256" w:lineRule="auto"/>
              <w:rPr>
                <w:sz w:val="20"/>
                <w:szCs w:val="20"/>
                <w:lang w:eastAsia="en-GB"/>
              </w:rPr>
            </w:pPr>
            <w:r w:rsidRPr="00BF530C">
              <w:rPr>
                <w:sz w:val="20"/>
                <w:szCs w:val="20"/>
                <w:lang w:eastAsia="en-GB"/>
              </w:rPr>
              <w:t xml:space="preserve"> October 202</w:t>
            </w:r>
            <w:r w:rsidR="00BA21AD">
              <w:rPr>
                <w:sz w:val="20"/>
                <w:szCs w:val="20"/>
                <w:lang w:eastAsia="en-GB"/>
              </w:rPr>
              <w:t>6</w:t>
            </w:r>
          </w:p>
        </w:tc>
      </w:tr>
      <w:tr w:rsidR="00BF530C" w14:paraId="79DAEDE5" w14:textId="77777777" w:rsidTr="004B3A18">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35BC3C20" w14:textId="77777777" w:rsidR="00BF530C" w:rsidRPr="00BF530C" w:rsidRDefault="00BF530C" w:rsidP="004B3A18">
            <w:pPr>
              <w:spacing w:after="0" w:line="256" w:lineRule="auto"/>
              <w:rPr>
                <w:sz w:val="20"/>
                <w:szCs w:val="20"/>
              </w:rPr>
            </w:pPr>
            <w:r w:rsidRPr="00BF530C">
              <w:rPr>
                <w:b/>
                <w:sz w:val="20"/>
                <w:szCs w:val="20"/>
                <w:lang w:eastAsia="en-GB"/>
              </w:rPr>
              <w:t xml:space="preserve">Link on School Website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15B6268" w14:textId="77777777" w:rsidR="00BF530C" w:rsidRPr="00BF530C" w:rsidRDefault="00BF530C" w:rsidP="004B3A18">
            <w:pPr>
              <w:spacing w:after="0" w:line="256" w:lineRule="auto"/>
              <w:rPr>
                <w:sz w:val="20"/>
                <w:szCs w:val="20"/>
                <w:lang w:eastAsia="en-GB"/>
              </w:rPr>
            </w:pPr>
            <w:r w:rsidRPr="00BF530C">
              <w:rPr>
                <w:sz w:val="20"/>
                <w:szCs w:val="20"/>
                <w:lang w:eastAsia="en-GB"/>
              </w:rPr>
              <w:t xml:space="preserve"> </w:t>
            </w:r>
          </w:p>
        </w:tc>
      </w:tr>
    </w:tbl>
    <w:p w14:paraId="4B31E9FF" w14:textId="77777777" w:rsidR="009827D4" w:rsidRPr="00611346" w:rsidRDefault="009827D4">
      <w:pPr>
        <w:rPr>
          <w:rFonts w:asciiTheme="minorHAnsi" w:hAnsiTheme="minorHAnsi"/>
          <w:sz w:val="20"/>
          <w:szCs w:val="20"/>
        </w:rPr>
      </w:pPr>
    </w:p>
    <w:sectPr w:rsidR="009827D4" w:rsidRPr="00611346" w:rsidSect="009F2952">
      <w:pgSz w:w="11906" w:h="16838"/>
      <w:pgMar w:top="1440" w:right="1440" w:bottom="1440" w:left="1440" w:header="720" w:footer="720" w:gutter="0"/>
      <w:pgBorders w:offsetFrom="page">
        <w:top w:val="double" w:sz="18" w:space="24" w:color="0070C0"/>
        <w:left w:val="double" w:sz="18" w:space="24" w:color="0070C0"/>
        <w:bottom w:val="double" w:sz="18" w:space="24" w:color="0070C0"/>
        <w:right w:val="double" w:sz="18" w:space="24" w:color="0070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87F1" w14:textId="77777777" w:rsidR="008A6FB7" w:rsidRDefault="008A6FB7">
      <w:pPr>
        <w:spacing w:after="0" w:line="240" w:lineRule="auto"/>
      </w:pPr>
      <w:r>
        <w:separator/>
      </w:r>
    </w:p>
  </w:endnote>
  <w:endnote w:type="continuationSeparator" w:id="0">
    <w:p w14:paraId="3C04B5E1" w14:textId="77777777" w:rsidR="008A6FB7" w:rsidRDefault="008A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5522" w14:textId="77777777" w:rsidR="008A6FB7" w:rsidRDefault="008A6FB7">
      <w:pPr>
        <w:spacing w:after="0" w:line="240" w:lineRule="auto"/>
      </w:pPr>
      <w:r>
        <w:rPr>
          <w:color w:val="000000"/>
        </w:rPr>
        <w:separator/>
      </w:r>
    </w:p>
  </w:footnote>
  <w:footnote w:type="continuationSeparator" w:id="0">
    <w:p w14:paraId="5055B67E" w14:textId="77777777" w:rsidR="008A6FB7" w:rsidRDefault="008A6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4723"/>
    <w:multiLevelType w:val="hybridMultilevel"/>
    <w:tmpl w:val="7ABE348C"/>
    <w:lvl w:ilvl="0" w:tplc="5CB60E64">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F33AF7"/>
    <w:multiLevelType w:val="multilevel"/>
    <w:tmpl w:val="A70608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20480810">
    <w:abstractNumId w:val="1"/>
  </w:num>
  <w:num w:numId="2" w16cid:durableId="161991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27E"/>
    <w:rsid w:val="000550BE"/>
    <w:rsid w:val="001F1A8A"/>
    <w:rsid w:val="001F5CE4"/>
    <w:rsid w:val="003B5E48"/>
    <w:rsid w:val="00520599"/>
    <w:rsid w:val="00611346"/>
    <w:rsid w:val="00636AF0"/>
    <w:rsid w:val="00871579"/>
    <w:rsid w:val="008A6FB7"/>
    <w:rsid w:val="009827D4"/>
    <w:rsid w:val="009F2952"/>
    <w:rsid w:val="00AD0D10"/>
    <w:rsid w:val="00BA21AD"/>
    <w:rsid w:val="00BF530C"/>
    <w:rsid w:val="00D716B9"/>
    <w:rsid w:val="00DF5B00"/>
    <w:rsid w:val="00FA5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DCAF"/>
  <w15:docId w15:val="{9A3E9DDA-DBDF-4C5B-9A7F-88B32F59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rsid w:val="000550BE"/>
    <w:pPr>
      <w:keepNext/>
      <w:keepLines/>
      <w:numPr>
        <w:numId w:val="2"/>
      </w:numPr>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TOCHeading">
    <w:name w:val="TOC Heading"/>
    <w:basedOn w:val="Heading1"/>
    <w:next w:val="Normal"/>
    <w:rsid w:val="003B5E48"/>
    <w:pPr>
      <w:numPr>
        <w:numId w:val="0"/>
      </w:numPr>
      <w:spacing w:before="240" w:after="0" w:line="251" w:lineRule="auto"/>
    </w:pPr>
    <w:rPr>
      <w:rFonts w:ascii="Calibri Light" w:hAnsi="Calibri Light"/>
      <w:color w:val="0D1C2F"/>
      <w:kern w:val="0"/>
      <w:sz w:val="32"/>
      <w:szCs w:val="32"/>
      <w:lang w:val="en-US"/>
    </w:rPr>
  </w:style>
  <w:style w:type="character" w:styleId="Hyperlink">
    <w:name w:val="Hyperlink"/>
    <w:uiPriority w:val="99"/>
    <w:rsid w:val="009827D4"/>
    <w:rPr>
      <w:color w:val="0072CC"/>
      <w:u w:val="single"/>
    </w:rPr>
  </w:style>
  <w:style w:type="paragraph" w:styleId="TOC1">
    <w:name w:val="toc 1"/>
    <w:basedOn w:val="Normal"/>
    <w:next w:val="Normal"/>
    <w:autoRedefine/>
    <w:uiPriority w:val="39"/>
    <w:rsid w:val="009827D4"/>
    <w:pPr>
      <w:spacing w:after="100" w:line="240" w:lineRule="auto"/>
    </w:pPr>
    <w:rPr>
      <w:rFonts w:ascii="Arial" w:eastAsia="MS Mincho" w:hAnsi="Arial"/>
      <w:kern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Chidwick</dc:creator>
  <dc:description/>
  <cp:lastModifiedBy>Tanya Collins</cp:lastModifiedBy>
  <cp:revision>9</cp:revision>
  <dcterms:created xsi:type="dcterms:W3CDTF">2024-10-02T09:46:00Z</dcterms:created>
  <dcterms:modified xsi:type="dcterms:W3CDTF">2026-03-12T15:00:00Z</dcterms:modified>
</cp:coreProperties>
</file>